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3254" w14:textId="77777777" w:rsidR="00EC7648" w:rsidRPr="00EC7648" w:rsidRDefault="00EC7648" w:rsidP="00EC7648">
      <w:pPr>
        <w:pStyle w:val="NoSpacing"/>
        <w:rPr>
          <w:sz w:val="44"/>
          <w:szCs w:val="44"/>
        </w:rPr>
      </w:pPr>
    </w:p>
    <w:p w14:paraId="5C618ABF" w14:textId="72517505" w:rsidR="00365CB5" w:rsidRPr="00EC7648" w:rsidRDefault="007E45A9" w:rsidP="00EC7648">
      <w:pPr>
        <w:pStyle w:val="NoSpacing"/>
        <w:rPr>
          <w:rFonts w:asciiTheme="majorHAnsi" w:hAnsiTheme="majorHAnsi"/>
          <w:b/>
          <w:sz w:val="44"/>
          <w:szCs w:val="44"/>
        </w:rPr>
      </w:pPr>
      <w:r w:rsidRPr="00EC7648">
        <w:rPr>
          <w:rFonts w:asciiTheme="majorHAnsi" w:hAnsiTheme="majorHAnsi"/>
          <w:b/>
          <w:sz w:val="44"/>
          <w:szCs w:val="44"/>
        </w:rPr>
        <w:t xml:space="preserve">PQRS: </w:t>
      </w:r>
      <w:r w:rsidR="00365CB5" w:rsidRPr="00EC7648">
        <w:rPr>
          <w:rFonts w:asciiTheme="majorHAnsi" w:hAnsiTheme="majorHAnsi"/>
          <w:b/>
          <w:sz w:val="44"/>
          <w:szCs w:val="44"/>
        </w:rPr>
        <w:t xml:space="preserve">What You Need to Know </w:t>
      </w:r>
      <w:r w:rsidR="00AD678B" w:rsidRPr="00EC7648">
        <w:rPr>
          <w:rFonts w:asciiTheme="majorHAnsi" w:hAnsiTheme="majorHAnsi"/>
          <w:b/>
          <w:sz w:val="44"/>
          <w:szCs w:val="44"/>
        </w:rPr>
        <w:t>About Participating</w:t>
      </w:r>
      <w:r w:rsidR="00606CD0" w:rsidRPr="00EC7648">
        <w:rPr>
          <w:rFonts w:asciiTheme="majorHAnsi" w:hAnsiTheme="majorHAnsi"/>
          <w:b/>
          <w:sz w:val="44"/>
          <w:szCs w:val="44"/>
        </w:rPr>
        <w:t xml:space="preserve"> in </w:t>
      </w:r>
      <w:r w:rsidR="00B900FE">
        <w:rPr>
          <w:rFonts w:asciiTheme="majorHAnsi" w:hAnsiTheme="majorHAnsi"/>
          <w:b/>
          <w:sz w:val="44"/>
          <w:szCs w:val="44"/>
        </w:rPr>
        <w:t>2016</w:t>
      </w:r>
    </w:p>
    <w:p w14:paraId="0050303A" w14:textId="77777777" w:rsidR="00A238E2" w:rsidRDefault="00A238E2" w:rsidP="00A238E2">
      <w:pPr>
        <w:spacing w:before="1" w:after="0" w:line="231" w:lineRule="auto"/>
        <w:ind w:right="-29"/>
        <w:rPr>
          <w:rFonts w:ascii="Palatino Linotype" w:eastAsia="Palatino Linotype" w:hAnsi="Palatino Linotype" w:cs="Palatino Linotype"/>
          <w:color w:val="231F20"/>
          <w:sz w:val="20"/>
          <w:szCs w:val="20"/>
        </w:rPr>
      </w:pPr>
    </w:p>
    <w:p w14:paraId="27DB690B" w14:textId="579630C3" w:rsidR="00934C97" w:rsidRPr="00A238E2" w:rsidRDefault="00A238E2" w:rsidP="00A238E2">
      <w:pPr>
        <w:rPr>
          <w:rFonts w:asciiTheme="majorHAnsi" w:hAnsiTheme="majorHAnsi"/>
        </w:rPr>
      </w:pPr>
      <w:r>
        <w:rPr>
          <w:rFonts w:asciiTheme="majorHAnsi" w:hAnsiTheme="majorHAnsi"/>
        </w:rPr>
        <w:t>S</w:t>
      </w:r>
      <w:r w:rsidRPr="00A238E2">
        <w:rPr>
          <w:rFonts w:asciiTheme="majorHAnsi" w:hAnsiTheme="majorHAnsi"/>
        </w:rPr>
        <w:t>ince</w:t>
      </w:r>
      <w:r w:rsidRPr="00A238E2">
        <w:rPr>
          <w:rFonts w:asciiTheme="majorHAnsi" w:hAnsiTheme="majorHAnsi"/>
          <w:spacing w:val="-5"/>
        </w:rPr>
        <w:t xml:space="preserve"> </w:t>
      </w:r>
      <w:r w:rsidRPr="00A238E2">
        <w:rPr>
          <w:rFonts w:asciiTheme="majorHAnsi" w:hAnsiTheme="majorHAnsi"/>
        </w:rPr>
        <w:t>2007, the Physician</w:t>
      </w:r>
      <w:r w:rsidRPr="00A238E2">
        <w:rPr>
          <w:rFonts w:asciiTheme="majorHAnsi" w:hAnsiTheme="majorHAnsi"/>
          <w:spacing w:val="-9"/>
        </w:rPr>
        <w:t xml:space="preserve"> </w:t>
      </w:r>
      <w:r w:rsidRPr="00A238E2">
        <w:rPr>
          <w:rFonts w:asciiTheme="majorHAnsi" w:hAnsiTheme="majorHAnsi"/>
        </w:rPr>
        <w:t>Quality Reporting System</w:t>
      </w:r>
      <w:r w:rsidRPr="00A238E2">
        <w:rPr>
          <w:rFonts w:asciiTheme="majorHAnsi" w:hAnsiTheme="majorHAnsi"/>
          <w:spacing w:val="-6"/>
        </w:rPr>
        <w:t xml:space="preserve"> </w:t>
      </w:r>
      <w:r w:rsidRPr="00A238E2">
        <w:rPr>
          <w:rFonts w:asciiTheme="majorHAnsi" w:hAnsiTheme="majorHAnsi"/>
        </w:rPr>
        <w:t xml:space="preserve">(PQRS) has been a </w:t>
      </w:r>
      <w:r w:rsidRPr="00A238E2">
        <w:rPr>
          <w:rFonts w:asciiTheme="majorHAnsi" w:hAnsiTheme="majorHAnsi"/>
          <w:spacing w:val="-3"/>
        </w:rPr>
        <w:t>v</w:t>
      </w:r>
      <w:r w:rsidRPr="00A238E2">
        <w:rPr>
          <w:rFonts w:asciiTheme="majorHAnsi" w:hAnsiTheme="majorHAnsi"/>
        </w:rPr>
        <w:t>oluntary federal program, offering</w:t>
      </w:r>
      <w:r w:rsidRPr="00A238E2">
        <w:rPr>
          <w:rFonts w:asciiTheme="majorHAnsi" w:hAnsiTheme="majorHAnsi"/>
          <w:spacing w:val="-7"/>
        </w:rPr>
        <w:t xml:space="preserve"> </w:t>
      </w:r>
      <w:r w:rsidRPr="00A238E2">
        <w:rPr>
          <w:rFonts w:asciiTheme="majorHAnsi" w:hAnsiTheme="majorHAnsi"/>
        </w:rPr>
        <w:t>Medicare incenti</w:t>
      </w:r>
      <w:r w:rsidRPr="00A238E2">
        <w:rPr>
          <w:rFonts w:asciiTheme="majorHAnsi" w:hAnsiTheme="majorHAnsi"/>
          <w:spacing w:val="-3"/>
        </w:rPr>
        <w:t>v</w:t>
      </w:r>
      <w:r w:rsidRPr="00A238E2">
        <w:rPr>
          <w:rFonts w:asciiTheme="majorHAnsi" w:hAnsiTheme="majorHAnsi"/>
        </w:rPr>
        <w:t>e payments to physicians</w:t>
      </w:r>
      <w:r w:rsidRPr="00A238E2">
        <w:rPr>
          <w:rFonts w:asciiTheme="majorHAnsi" w:hAnsiTheme="majorHAnsi"/>
          <w:spacing w:val="-9"/>
        </w:rPr>
        <w:t xml:space="preserve"> </w:t>
      </w:r>
      <w:r w:rsidRPr="00A238E2">
        <w:rPr>
          <w:rFonts w:asciiTheme="majorHAnsi" w:hAnsiTheme="majorHAnsi"/>
        </w:rPr>
        <w:t>who</w:t>
      </w:r>
      <w:r w:rsidRPr="00A238E2">
        <w:rPr>
          <w:rFonts w:asciiTheme="majorHAnsi" w:hAnsiTheme="majorHAnsi"/>
          <w:spacing w:val="-4"/>
        </w:rPr>
        <w:t xml:space="preserve"> </w:t>
      </w:r>
      <w:r w:rsidRPr="00A238E2">
        <w:rPr>
          <w:rFonts w:asciiTheme="majorHAnsi" w:hAnsiTheme="majorHAnsi"/>
        </w:rPr>
        <w:t>report quality measure data to CMS.  Ho</w:t>
      </w:r>
      <w:r w:rsidRPr="00A238E2">
        <w:rPr>
          <w:rFonts w:asciiTheme="majorHAnsi" w:hAnsiTheme="majorHAnsi"/>
          <w:spacing w:val="-4"/>
        </w:rPr>
        <w:t>w</w:t>
      </w:r>
      <w:r w:rsidRPr="00A238E2">
        <w:rPr>
          <w:rFonts w:asciiTheme="majorHAnsi" w:hAnsiTheme="majorHAnsi"/>
        </w:rPr>
        <w:t>e</w:t>
      </w:r>
      <w:r w:rsidRPr="00A238E2">
        <w:rPr>
          <w:rFonts w:asciiTheme="majorHAnsi" w:hAnsiTheme="majorHAnsi"/>
          <w:spacing w:val="-3"/>
        </w:rPr>
        <w:t>v</w:t>
      </w:r>
      <w:r w:rsidRPr="00A238E2">
        <w:rPr>
          <w:rFonts w:asciiTheme="majorHAnsi" w:hAnsiTheme="majorHAnsi"/>
        </w:rPr>
        <w:t>e</w:t>
      </w:r>
      <w:r w:rsidRPr="00A238E2">
        <w:rPr>
          <w:rFonts w:asciiTheme="majorHAnsi" w:hAnsiTheme="majorHAnsi"/>
          <w:spacing w:val="-8"/>
        </w:rPr>
        <w:t>r</w:t>
      </w:r>
      <w:r w:rsidRPr="00A238E2">
        <w:rPr>
          <w:rFonts w:asciiTheme="majorHAnsi" w:hAnsiTheme="majorHAnsi"/>
        </w:rPr>
        <w:t>, the</w:t>
      </w:r>
      <w:r w:rsidRPr="00A238E2">
        <w:rPr>
          <w:rFonts w:asciiTheme="majorHAnsi" w:hAnsiTheme="majorHAnsi"/>
          <w:spacing w:val="-7"/>
        </w:rPr>
        <w:t xml:space="preserve"> </w:t>
      </w:r>
      <w:r w:rsidRPr="00A238E2">
        <w:rPr>
          <w:rFonts w:asciiTheme="majorHAnsi" w:hAnsiTheme="majorHAnsi"/>
        </w:rPr>
        <w:t>Affordable</w:t>
      </w:r>
      <w:r w:rsidRPr="00A238E2">
        <w:rPr>
          <w:rFonts w:asciiTheme="majorHAnsi" w:hAnsiTheme="majorHAnsi"/>
          <w:spacing w:val="-10"/>
        </w:rPr>
        <w:t xml:space="preserve"> </w:t>
      </w:r>
      <w:r w:rsidRPr="00A238E2">
        <w:rPr>
          <w:rFonts w:asciiTheme="majorHAnsi" w:hAnsiTheme="majorHAnsi"/>
        </w:rPr>
        <w:t>Care</w:t>
      </w:r>
      <w:r>
        <w:rPr>
          <w:rFonts w:asciiTheme="majorHAnsi" w:hAnsiTheme="majorHAnsi"/>
        </w:rPr>
        <w:t xml:space="preserve"> Act of 2010 </w:t>
      </w:r>
      <w:r w:rsidRPr="00A238E2">
        <w:rPr>
          <w:rFonts w:asciiTheme="majorHAnsi" w:hAnsiTheme="majorHAnsi"/>
        </w:rPr>
        <w:t>phase</w:t>
      </w:r>
      <w:r>
        <w:rPr>
          <w:rFonts w:asciiTheme="majorHAnsi" w:hAnsiTheme="majorHAnsi"/>
        </w:rPr>
        <w:t>d</w:t>
      </w:r>
      <w:r w:rsidRPr="00A238E2">
        <w:rPr>
          <w:rFonts w:asciiTheme="majorHAnsi" w:hAnsiTheme="majorHAnsi"/>
        </w:rPr>
        <w:t xml:space="preserve"> out incenti</w:t>
      </w:r>
      <w:r w:rsidRPr="00A238E2">
        <w:rPr>
          <w:rFonts w:asciiTheme="majorHAnsi" w:hAnsiTheme="majorHAnsi"/>
          <w:spacing w:val="-3"/>
        </w:rPr>
        <w:t>v</w:t>
      </w:r>
      <w:r w:rsidRPr="00A238E2">
        <w:rPr>
          <w:rFonts w:asciiTheme="majorHAnsi" w:hAnsiTheme="majorHAnsi"/>
        </w:rPr>
        <w:t>e payments</w:t>
      </w:r>
      <w:r>
        <w:rPr>
          <w:rFonts w:asciiTheme="majorHAnsi" w:hAnsiTheme="majorHAnsi"/>
        </w:rPr>
        <w:t xml:space="preserve"> and, starting in 2015, began imposing penalties on </w:t>
      </w:r>
      <w:r w:rsidRPr="00A238E2">
        <w:rPr>
          <w:rFonts w:asciiTheme="majorHAnsi" w:hAnsiTheme="majorHAnsi"/>
        </w:rPr>
        <w:t>physicians</w:t>
      </w:r>
      <w:r w:rsidRPr="00A238E2">
        <w:rPr>
          <w:rFonts w:asciiTheme="majorHAnsi" w:hAnsiTheme="majorHAnsi"/>
          <w:spacing w:val="-9"/>
        </w:rPr>
        <w:t xml:space="preserve"> </w:t>
      </w:r>
      <w:r w:rsidRPr="00A238E2">
        <w:rPr>
          <w:rFonts w:asciiTheme="majorHAnsi" w:hAnsiTheme="majorHAnsi"/>
        </w:rPr>
        <w:t>who</w:t>
      </w:r>
      <w:r w:rsidRPr="00A238E2">
        <w:rPr>
          <w:rFonts w:asciiTheme="majorHAnsi" w:hAnsiTheme="majorHAnsi"/>
          <w:spacing w:val="-4"/>
        </w:rPr>
        <w:t xml:space="preserve"> </w:t>
      </w:r>
      <w:r w:rsidRPr="00A238E2">
        <w:rPr>
          <w:rFonts w:asciiTheme="majorHAnsi" w:hAnsiTheme="majorHAnsi"/>
        </w:rPr>
        <w:t>fail to satisfy PQRS reporting requirements.</w:t>
      </w:r>
      <w:r w:rsidRPr="00A238E2">
        <w:rPr>
          <w:rFonts w:asciiTheme="majorHAnsi" w:hAnsiTheme="majorHAnsi"/>
          <w:spacing w:val="43"/>
        </w:rPr>
        <w:t xml:space="preserve"> </w:t>
      </w:r>
      <w:r w:rsidRPr="00A238E2">
        <w:rPr>
          <w:rFonts w:asciiTheme="majorHAnsi" w:hAnsiTheme="majorHAnsi"/>
        </w:rPr>
        <w:t>As a result,</w:t>
      </w:r>
      <w:r w:rsidRPr="00A238E2">
        <w:rPr>
          <w:rFonts w:asciiTheme="majorHAnsi" w:hAnsiTheme="majorHAnsi"/>
          <w:position w:val="1"/>
        </w:rPr>
        <w:t xml:space="preserve"> those</w:t>
      </w:r>
      <w:r w:rsidRPr="00A238E2">
        <w:rPr>
          <w:rFonts w:asciiTheme="majorHAnsi" w:hAnsiTheme="majorHAnsi"/>
          <w:spacing w:val="-5"/>
          <w:position w:val="1"/>
        </w:rPr>
        <w:t xml:space="preserve"> </w:t>
      </w:r>
      <w:r w:rsidRPr="00A238E2">
        <w:rPr>
          <w:rFonts w:asciiTheme="majorHAnsi" w:hAnsiTheme="majorHAnsi"/>
          <w:position w:val="1"/>
        </w:rPr>
        <w:t>who</w:t>
      </w:r>
      <w:r w:rsidRPr="00A238E2">
        <w:rPr>
          <w:rFonts w:asciiTheme="majorHAnsi" w:hAnsiTheme="majorHAnsi"/>
          <w:spacing w:val="-4"/>
          <w:position w:val="1"/>
        </w:rPr>
        <w:t xml:space="preserve"> </w:t>
      </w:r>
      <w:r w:rsidRPr="00A238E2">
        <w:rPr>
          <w:rFonts w:asciiTheme="majorHAnsi" w:hAnsiTheme="majorHAnsi"/>
          <w:position w:val="1"/>
        </w:rPr>
        <w:t>do</w:t>
      </w:r>
      <w:r w:rsidRPr="00A238E2">
        <w:rPr>
          <w:rFonts w:asciiTheme="majorHAnsi" w:hAnsiTheme="majorHAnsi"/>
          <w:spacing w:val="-2"/>
          <w:position w:val="1"/>
        </w:rPr>
        <w:t xml:space="preserve"> </w:t>
      </w:r>
      <w:r w:rsidRPr="00A238E2">
        <w:rPr>
          <w:rFonts w:asciiTheme="majorHAnsi" w:hAnsiTheme="majorHAnsi"/>
          <w:position w:val="1"/>
        </w:rPr>
        <w:t>not satisfy the program</w:t>
      </w:r>
      <w:r w:rsidRPr="00A238E2">
        <w:rPr>
          <w:rFonts w:asciiTheme="majorHAnsi" w:hAnsiTheme="majorHAnsi"/>
          <w:spacing w:val="-22"/>
          <w:position w:val="1"/>
        </w:rPr>
        <w:t>’</w:t>
      </w:r>
      <w:r w:rsidRPr="00A238E2">
        <w:rPr>
          <w:rFonts w:asciiTheme="majorHAnsi" w:hAnsiTheme="majorHAnsi"/>
          <w:position w:val="1"/>
        </w:rPr>
        <w:t>s</w:t>
      </w:r>
      <w:r w:rsidRPr="00A238E2">
        <w:rPr>
          <w:rFonts w:asciiTheme="majorHAnsi" w:hAnsiTheme="majorHAnsi"/>
          <w:spacing w:val="-9"/>
          <w:position w:val="1"/>
        </w:rPr>
        <w:t xml:space="preserve"> </w:t>
      </w:r>
      <w:r w:rsidRPr="00A238E2">
        <w:rPr>
          <w:rFonts w:asciiTheme="majorHAnsi" w:hAnsiTheme="majorHAnsi"/>
          <w:position w:val="1"/>
        </w:rPr>
        <w:t>requirements</w:t>
      </w:r>
      <w:r w:rsidRPr="00A238E2">
        <w:rPr>
          <w:rFonts w:asciiTheme="majorHAnsi" w:hAnsiTheme="majorHAnsi"/>
          <w:spacing w:val="-12"/>
          <w:position w:val="1"/>
        </w:rPr>
        <w:t xml:space="preserve"> </w:t>
      </w:r>
      <w:r w:rsidRPr="00A238E2">
        <w:rPr>
          <w:rFonts w:asciiTheme="majorHAnsi" w:hAnsiTheme="majorHAnsi"/>
          <w:position w:val="1"/>
        </w:rPr>
        <w:t>in</w:t>
      </w:r>
      <w:r>
        <w:rPr>
          <w:rFonts w:asciiTheme="majorHAnsi" w:hAnsiTheme="majorHAnsi"/>
          <w:position w:val="1"/>
        </w:rPr>
        <w:t xml:space="preserve"> 2</w:t>
      </w:r>
      <w:r w:rsidRPr="00A238E2">
        <w:rPr>
          <w:rFonts w:asciiTheme="majorHAnsi" w:hAnsiTheme="majorHAnsi"/>
          <w:position w:val="1"/>
        </w:rPr>
        <w:t xml:space="preserve">016 will be </w:t>
      </w:r>
      <w:r w:rsidRPr="00A238E2">
        <w:rPr>
          <w:rFonts w:asciiTheme="majorHAnsi" w:hAnsiTheme="majorHAnsi"/>
          <w:b/>
          <w:bCs/>
          <w:i/>
          <w:position w:val="1"/>
        </w:rPr>
        <w:t>subject</w:t>
      </w:r>
      <w:r w:rsidRPr="00A238E2">
        <w:rPr>
          <w:rFonts w:asciiTheme="majorHAnsi" w:hAnsiTheme="majorHAnsi"/>
          <w:b/>
          <w:bCs/>
          <w:i/>
          <w:spacing w:val="-6"/>
          <w:position w:val="1"/>
        </w:rPr>
        <w:t xml:space="preserve"> </w:t>
      </w:r>
      <w:r w:rsidRPr="00A238E2">
        <w:rPr>
          <w:rFonts w:asciiTheme="majorHAnsi" w:hAnsiTheme="majorHAnsi"/>
          <w:b/>
          <w:bCs/>
          <w:i/>
          <w:position w:val="1"/>
        </w:rPr>
        <w:t>to a 2.0% penalty in 2018</w:t>
      </w:r>
      <w:r w:rsidRPr="00A238E2">
        <w:rPr>
          <w:rFonts w:asciiTheme="majorHAnsi" w:hAnsiTheme="majorHAnsi"/>
          <w:position w:val="1"/>
        </w:rPr>
        <w:t>.</w:t>
      </w:r>
      <w:r w:rsidR="00FA6B36">
        <w:rPr>
          <w:rFonts w:asciiTheme="majorHAnsi" w:hAnsiTheme="majorHAnsi"/>
          <w:position w:val="1"/>
        </w:rPr>
        <w:t xml:space="preserve"> </w:t>
      </w:r>
      <w:r w:rsidRPr="00A238E2">
        <w:rPr>
          <w:rFonts w:asciiTheme="majorHAnsi" w:hAnsiTheme="majorHAnsi"/>
          <w:position w:val="1"/>
        </w:rPr>
        <w:t xml:space="preserve"> PQRS measure</w:t>
      </w:r>
      <w:r w:rsidRPr="00A238E2">
        <w:rPr>
          <w:rFonts w:asciiTheme="majorHAnsi" w:hAnsiTheme="majorHAnsi"/>
          <w:spacing w:val="-8"/>
          <w:position w:val="1"/>
        </w:rPr>
        <w:t xml:space="preserve"> </w:t>
      </w:r>
      <w:r w:rsidRPr="00A238E2">
        <w:rPr>
          <w:rFonts w:asciiTheme="majorHAnsi" w:hAnsiTheme="majorHAnsi"/>
          <w:position w:val="1"/>
        </w:rPr>
        <w:t xml:space="preserve">data </w:t>
      </w:r>
      <w:r>
        <w:rPr>
          <w:rFonts w:asciiTheme="majorHAnsi" w:hAnsiTheme="majorHAnsi"/>
          <w:position w:val="1"/>
        </w:rPr>
        <w:t>also is</w:t>
      </w:r>
      <w:r w:rsidRPr="00A238E2">
        <w:rPr>
          <w:rFonts w:asciiTheme="majorHAnsi" w:hAnsiTheme="majorHAnsi"/>
          <w:position w:val="1"/>
        </w:rPr>
        <w:t xml:space="preserve"> used</w:t>
      </w:r>
      <w:r w:rsidRPr="00A238E2">
        <w:rPr>
          <w:rFonts w:asciiTheme="majorHAnsi" w:hAnsiTheme="majorHAnsi"/>
          <w:spacing w:val="-4"/>
          <w:position w:val="1"/>
        </w:rPr>
        <w:t xml:space="preserve"> </w:t>
      </w:r>
      <w:r>
        <w:rPr>
          <w:rFonts w:asciiTheme="majorHAnsi" w:hAnsiTheme="majorHAnsi"/>
          <w:spacing w:val="-4"/>
          <w:position w:val="1"/>
        </w:rPr>
        <w:t xml:space="preserve">by CMS </w:t>
      </w:r>
      <w:r w:rsidRPr="00A238E2">
        <w:rPr>
          <w:rFonts w:asciiTheme="majorHAnsi" w:hAnsiTheme="majorHAnsi"/>
          <w:position w:val="1"/>
        </w:rPr>
        <w:t>to calculate</w:t>
      </w:r>
      <w:r w:rsidRPr="00A238E2">
        <w:rPr>
          <w:rFonts w:asciiTheme="majorHAnsi" w:hAnsiTheme="majorHAnsi"/>
          <w:spacing w:val="-8"/>
          <w:position w:val="1"/>
        </w:rPr>
        <w:t xml:space="preserve"> </w:t>
      </w:r>
      <w:r w:rsidRPr="00A238E2">
        <w:rPr>
          <w:rFonts w:asciiTheme="majorHAnsi" w:hAnsiTheme="majorHAnsi"/>
          <w:position w:val="1"/>
        </w:rPr>
        <w:t>a separate</w:t>
      </w:r>
      <w:r>
        <w:rPr>
          <w:rFonts w:asciiTheme="majorHAnsi" w:hAnsiTheme="majorHAnsi"/>
        </w:rPr>
        <w:t xml:space="preserve"> </w:t>
      </w:r>
      <w:r w:rsidRPr="00A238E2">
        <w:rPr>
          <w:rFonts w:asciiTheme="majorHAnsi" w:hAnsiTheme="majorHAnsi"/>
          <w:i/>
          <w:position w:val="1"/>
        </w:rPr>
        <w:t>performance-based</w:t>
      </w:r>
      <w:r w:rsidRPr="00A238E2">
        <w:rPr>
          <w:rFonts w:asciiTheme="majorHAnsi" w:hAnsiTheme="majorHAnsi"/>
          <w:i/>
          <w:spacing w:val="-15"/>
          <w:position w:val="1"/>
        </w:rPr>
        <w:t xml:space="preserve"> </w:t>
      </w:r>
      <w:r w:rsidRPr="00A238E2">
        <w:rPr>
          <w:rFonts w:asciiTheme="majorHAnsi" w:hAnsiTheme="majorHAnsi"/>
          <w:position w:val="1"/>
        </w:rPr>
        <w:t>payment adjustment</w:t>
      </w:r>
      <w:r w:rsidRPr="00A238E2">
        <w:rPr>
          <w:rFonts w:asciiTheme="majorHAnsi" w:hAnsiTheme="majorHAnsi"/>
          <w:spacing w:val="-10"/>
          <w:position w:val="1"/>
        </w:rPr>
        <w:t xml:space="preserve"> </w:t>
      </w:r>
      <w:r w:rsidRPr="00A238E2">
        <w:rPr>
          <w:rFonts w:asciiTheme="majorHAnsi" w:hAnsiTheme="majorHAnsi"/>
          <w:position w:val="1"/>
        </w:rPr>
        <w:t>known as</w:t>
      </w:r>
      <w:r w:rsidRPr="00A238E2">
        <w:rPr>
          <w:rFonts w:asciiTheme="majorHAnsi" w:hAnsiTheme="majorHAnsi"/>
          <w:spacing w:val="-2"/>
          <w:position w:val="1"/>
        </w:rPr>
        <w:t xml:space="preserve"> </w:t>
      </w:r>
      <w:r w:rsidRPr="00A238E2">
        <w:rPr>
          <w:rFonts w:asciiTheme="majorHAnsi" w:hAnsiTheme="majorHAnsi"/>
          <w:position w:val="1"/>
        </w:rPr>
        <w:t xml:space="preserve">the </w:t>
      </w:r>
      <w:r w:rsidRPr="00A238E2">
        <w:rPr>
          <w:rFonts w:asciiTheme="majorHAnsi" w:hAnsiTheme="majorHAnsi"/>
          <w:spacing w:val="-16"/>
          <w:position w:val="1"/>
        </w:rPr>
        <w:t>V</w:t>
      </w:r>
      <w:r w:rsidRPr="00A238E2">
        <w:rPr>
          <w:rFonts w:asciiTheme="majorHAnsi" w:hAnsiTheme="majorHAnsi"/>
          <w:position w:val="1"/>
        </w:rPr>
        <w:t xml:space="preserve">alue-Based </w:t>
      </w:r>
      <w:r w:rsidRPr="00A238E2">
        <w:rPr>
          <w:rFonts w:asciiTheme="majorHAnsi" w:hAnsiTheme="majorHAnsi"/>
          <w:spacing w:val="-6"/>
          <w:position w:val="1"/>
        </w:rPr>
        <w:t>P</w:t>
      </w:r>
      <w:r w:rsidRPr="00A238E2">
        <w:rPr>
          <w:rFonts w:asciiTheme="majorHAnsi" w:hAnsiTheme="majorHAnsi"/>
          <w:position w:val="1"/>
        </w:rPr>
        <w:t>ayment Modifier</w:t>
      </w:r>
      <w:r>
        <w:rPr>
          <w:rFonts w:asciiTheme="majorHAnsi" w:hAnsiTheme="majorHAnsi"/>
          <w:spacing w:val="-8"/>
          <w:position w:val="1"/>
        </w:rPr>
        <w:t xml:space="preserve">.  </w:t>
      </w:r>
      <w:r w:rsidRPr="00A238E2">
        <w:rPr>
          <w:rFonts w:asciiTheme="majorHAnsi" w:hAnsiTheme="majorHAnsi"/>
          <w:position w:val="1"/>
        </w:rPr>
        <w:t>Gi</w:t>
      </w:r>
      <w:r w:rsidRPr="00A238E2">
        <w:rPr>
          <w:rFonts w:asciiTheme="majorHAnsi" w:hAnsiTheme="majorHAnsi"/>
          <w:spacing w:val="-3"/>
          <w:position w:val="1"/>
        </w:rPr>
        <w:t>v</w:t>
      </w:r>
      <w:r w:rsidRPr="00A238E2">
        <w:rPr>
          <w:rFonts w:asciiTheme="majorHAnsi" w:hAnsiTheme="majorHAnsi"/>
          <w:position w:val="1"/>
        </w:rPr>
        <w:t>en the</w:t>
      </w:r>
      <w:r>
        <w:rPr>
          <w:rFonts w:asciiTheme="majorHAnsi" w:hAnsiTheme="majorHAnsi"/>
        </w:rPr>
        <w:t xml:space="preserve"> </w:t>
      </w:r>
      <w:r w:rsidRPr="00A238E2">
        <w:rPr>
          <w:rFonts w:asciiTheme="majorHAnsi" w:hAnsiTheme="majorHAnsi"/>
          <w:position w:val="1"/>
        </w:rPr>
        <w:t>payment implications</w:t>
      </w:r>
      <w:r w:rsidRPr="00A238E2">
        <w:rPr>
          <w:rFonts w:asciiTheme="majorHAnsi" w:hAnsiTheme="majorHAnsi"/>
          <w:spacing w:val="-11"/>
          <w:position w:val="1"/>
        </w:rPr>
        <w:t xml:space="preserve"> </w:t>
      </w:r>
      <w:r w:rsidRPr="00A238E2">
        <w:rPr>
          <w:rFonts w:asciiTheme="majorHAnsi" w:hAnsiTheme="majorHAnsi"/>
          <w:position w:val="1"/>
        </w:rPr>
        <w:t>of</w:t>
      </w:r>
      <w:r w:rsidRPr="00A238E2">
        <w:rPr>
          <w:rFonts w:asciiTheme="majorHAnsi" w:hAnsiTheme="majorHAnsi"/>
          <w:spacing w:val="-2"/>
          <w:position w:val="1"/>
        </w:rPr>
        <w:t xml:space="preserve"> </w:t>
      </w:r>
      <w:r>
        <w:rPr>
          <w:rFonts w:asciiTheme="majorHAnsi" w:hAnsiTheme="majorHAnsi"/>
          <w:position w:val="1"/>
        </w:rPr>
        <w:t>these</w:t>
      </w:r>
      <w:r w:rsidRPr="00A238E2">
        <w:rPr>
          <w:rFonts w:asciiTheme="majorHAnsi" w:hAnsiTheme="majorHAnsi"/>
          <w:position w:val="1"/>
        </w:rPr>
        <w:t xml:space="preserve"> policies</w:t>
      </w:r>
      <w:r>
        <w:rPr>
          <w:rFonts w:asciiTheme="majorHAnsi" w:hAnsiTheme="majorHAnsi"/>
          <w:position w:val="1"/>
        </w:rPr>
        <w:t xml:space="preserve"> and the fact that many elements of these two programs will be preserved under the newly authorized Merit-Based Incentive Payment System (MIPS), slated to begin in 2017, it is important for AAHPM members to familiarize themselves with the program and to begin participating as soon as possible. </w:t>
      </w:r>
    </w:p>
    <w:p w14:paraId="25B5CDAA" w14:textId="246D5CE5" w:rsidR="00F82231" w:rsidRPr="0050405F" w:rsidRDefault="00096D7B" w:rsidP="00096D7B">
      <w:pPr>
        <w:pStyle w:val="Heading2"/>
      </w:pPr>
      <w:r w:rsidRPr="0050405F">
        <w:t>Upcoming PQRS P</w:t>
      </w:r>
      <w:r w:rsidR="00F82231" w:rsidRPr="0050405F">
        <w:t xml:space="preserve">enalties </w:t>
      </w:r>
    </w:p>
    <w:tbl>
      <w:tblPr>
        <w:tblStyle w:val="TableGrid"/>
        <w:tblW w:w="9270" w:type="dxa"/>
        <w:tblInd w:w="108" w:type="dxa"/>
        <w:tblLayout w:type="fixed"/>
        <w:tblLook w:val="04A0" w:firstRow="1" w:lastRow="0" w:firstColumn="1" w:lastColumn="0" w:noHBand="0" w:noVBand="1"/>
      </w:tblPr>
      <w:tblGrid>
        <w:gridCol w:w="4950"/>
        <w:gridCol w:w="1260"/>
        <w:gridCol w:w="1440"/>
        <w:gridCol w:w="1620"/>
      </w:tblGrid>
      <w:tr w:rsidR="00096D7B" w:rsidRPr="0050405F" w14:paraId="09B4BC02" w14:textId="77777777" w:rsidTr="0050405F">
        <w:tc>
          <w:tcPr>
            <w:tcW w:w="4950" w:type="dxa"/>
            <w:shd w:val="clear" w:color="auto" w:fill="9BBB59" w:themeFill="accent3"/>
            <w:vAlign w:val="center"/>
          </w:tcPr>
          <w:p w14:paraId="4A9FA6E8" w14:textId="151F8CA4" w:rsidR="009576A3" w:rsidRPr="0050405F" w:rsidRDefault="009576A3" w:rsidP="00AF2DE5">
            <w:pPr>
              <w:pStyle w:val="NoSpacing"/>
              <w:tabs>
                <w:tab w:val="center" w:pos="2367"/>
                <w:tab w:val="left" w:pos="3600"/>
              </w:tabs>
              <w:jc w:val="center"/>
              <w:rPr>
                <w:rFonts w:asciiTheme="majorHAnsi" w:hAnsiTheme="majorHAnsi"/>
                <w:b/>
              </w:rPr>
            </w:pPr>
            <w:r w:rsidRPr="0050405F">
              <w:rPr>
                <w:rFonts w:asciiTheme="majorHAnsi" w:hAnsiTheme="majorHAnsi"/>
                <w:b/>
              </w:rPr>
              <w:t>Action</w:t>
            </w:r>
          </w:p>
        </w:tc>
        <w:tc>
          <w:tcPr>
            <w:tcW w:w="1260" w:type="dxa"/>
            <w:shd w:val="clear" w:color="auto" w:fill="9BBB59" w:themeFill="accent3"/>
            <w:vAlign w:val="center"/>
          </w:tcPr>
          <w:p w14:paraId="69D2FC4D" w14:textId="77777777" w:rsidR="009576A3" w:rsidRPr="0050405F" w:rsidRDefault="009576A3" w:rsidP="00AF2DE5">
            <w:pPr>
              <w:pStyle w:val="NoSpacing"/>
              <w:jc w:val="center"/>
              <w:rPr>
                <w:rFonts w:asciiTheme="majorHAnsi" w:hAnsiTheme="majorHAnsi"/>
                <w:b/>
              </w:rPr>
            </w:pPr>
            <w:r w:rsidRPr="0050405F">
              <w:rPr>
                <w:rFonts w:asciiTheme="majorHAnsi" w:hAnsiTheme="majorHAnsi"/>
                <w:b/>
              </w:rPr>
              <w:t>Reporting Year</w:t>
            </w:r>
          </w:p>
        </w:tc>
        <w:tc>
          <w:tcPr>
            <w:tcW w:w="1440" w:type="dxa"/>
            <w:shd w:val="clear" w:color="auto" w:fill="9BBB59" w:themeFill="accent3"/>
            <w:vAlign w:val="center"/>
          </w:tcPr>
          <w:p w14:paraId="5E2616FF" w14:textId="77777777" w:rsidR="009576A3" w:rsidRPr="0050405F" w:rsidRDefault="009576A3" w:rsidP="00AF2DE5">
            <w:pPr>
              <w:pStyle w:val="NoSpacing"/>
              <w:jc w:val="center"/>
              <w:rPr>
                <w:rFonts w:asciiTheme="majorHAnsi" w:hAnsiTheme="majorHAnsi"/>
                <w:b/>
              </w:rPr>
            </w:pPr>
            <w:r w:rsidRPr="0050405F">
              <w:rPr>
                <w:rFonts w:asciiTheme="majorHAnsi" w:hAnsiTheme="majorHAnsi"/>
                <w:b/>
              </w:rPr>
              <w:t>Affected Payment Year</w:t>
            </w:r>
          </w:p>
        </w:tc>
        <w:tc>
          <w:tcPr>
            <w:tcW w:w="1620" w:type="dxa"/>
            <w:shd w:val="clear" w:color="auto" w:fill="9BBB59" w:themeFill="accent3"/>
            <w:vAlign w:val="center"/>
          </w:tcPr>
          <w:p w14:paraId="1AF40CC8" w14:textId="1F49BDBA" w:rsidR="009576A3" w:rsidRPr="0050405F" w:rsidRDefault="009576A3" w:rsidP="00AF2DE5">
            <w:pPr>
              <w:pStyle w:val="NoSpacing"/>
              <w:jc w:val="center"/>
              <w:rPr>
                <w:rFonts w:asciiTheme="majorHAnsi" w:hAnsiTheme="majorHAnsi"/>
                <w:b/>
              </w:rPr>
            </w:pPr>
            <w:r w:rsidRPr="0050405F">
              <w:rPr>
                <w:rFonts w:asciiTheme="majorHAnsi" w:hAnsiTheme="majorHAnsi"/>
                <w:b/>
              </w:rPr>
              <w:t>Payment Adjustment</w:t>
            </w:r>
          </w:p>
        </w:tc>
      </w:tr>
      <w:tr w:rsidR="00582FF2" w:rsidRPr="0050405F" w14:paraId="7507B6B1" w14:textId="77777777" w:rsidTr="00582FF2">
        <w:tc>
          <w:tcPr>
            <w:tcW w:w="4950" w:type="dxa"/>
            <w:shd w:val="clear" w:color="auto" w:fill="D6E3BC" w:themeFill="accent3" w:themeFillTint="66"/>
            <w:vAlign w:val="center"/>
          </w:tcPr>
          <w:p w14:paraId="7247F011" w14:textId="43F8A4F4" w:rsidR="00582FF2" w:rsidRPr="00582FF2" w:rsidRDefault="00582FF2" w:rsidP="00332D0F">
            <w:pPr>
              <w:pStyle w:val="NoSpacing"/>
              <w:tabs>
                <w:tab w:val="center" w:pos="2367"/>
                <w:tab w:val="left" w:pos="3600"/>
              </w:tabs>
              <w:rPr>
                <w:rFonts w:asciiTheme="majorHAnsi" w:hAnsiTheme="majorHAnsi"/>
              </w:rPr>
            </w:pPr>
            <w:r>
              <w:rPr>
                <w:rFonts w:asciiTheme="majorHAnsi" w:hAnsiTheme="majorHAnsi"/>
              </w:rPr>
              <w:t>Satisfy PQRS reporting criteria</w:t>
            </w:r>
          </w:p>
        </w:tc>
        <w:tc>
          <w:tcPr>
            <w:tcW w:w="1260" w:type="dxa"/>
            <w:shd w:val="clear" w:color="auto" w:fill="D6E3BC" w:themeFill="accent3" w:themeFillTint="66"/>
            <w:vAlign w:val="center"/>
          </w:tcPr>
          <w:p w14:paraId="4CD1BCE7" w14:textId="5AA8F845" w:rsidR="00582FF2" w:rsidRPr="00582FF2" w:rsidRDefault="00582FF2" w:rsidP="00AF2DE5">
            <w:pPr>
              <w:pStyle w:val="NoSpacing"/>
              <w:jc w:val="center"/>
              <w:rPr>
                <w:rFonts w:asciiTheme="majorHAnsi" w:hAnsiTheme="majorHAnsi"/>
              </w:rPr>
            </w:pPr>
            <w:r w:rsidRPr="00582FF2">
              <w:rPr>
                <w:rFonts w:asciiTheme="majorHAnsi" w:hAnsiTheme="majorHAnsi"/>
              </w:rPr>
              <w:t>201</w:t>
            </w:r>
            <w:r w:rsidR="00FA6B36">
              <w:rPr>
                <w:rFonts w:asciiTheme="majorHAnsi" w:hAnsiTheme="majorHAnsi"/>
              </w:rPr>
              <w:t>6</w:t>
            </w:r>
          </w:p>
        </w:tc>
        <w:tc>
          <w:tcPr>
            <w:tcW w:w="1440" w:type="dxa"/>
            <w:shd w:val="clear" w:color="auto" w:fill="D6E3BC" w:themeFill="accent3" w:themeFillTint="66"/>
            <w:vAlign w:val="center"/>
          </w:tcPr>
          <w:p w14:paraId="2548C628" w14:textId="1774062A" w:rsidR="00582FF2" w:rsidRPr="00582FF2" w:rsidRDefault="00582FF2" w:rsidP="00AF2DE5">
            <w:pPr>
              <w:pStyle w:val="NoSpacing"/>
              <w:jc w:val="center"/>
              <w:rPr>
                <w:rFonts w:asciiTheme="majorHAnsi" w:hAnsiTheme="majorHAnsi"/>
              </w:rPr>
            </w:pPr>
            <w:r w:rsidRPr="00582FF2">
              <w:rPr>
                <w:rFonts w:asciiTheme="majorHAnsi" w:hAnsiTheme="majorHAnsi"/>
              </w:rPr>
              <w:t>201</w:t>
            </w:r>
            <w:r w:rsidR="00FA6B36">
              <w:rPr>
                <w:rFonts w:asciiTheme="majorHAnsi" w:hAnsiTheme="majorHAnsi"/>
              </w:rPr>
              <w:t>8</w:t>
            </w:r>
          </w:p>
        </w:tc>
        <w:tc>
          <w:tcPr>
            <w:tcW w:w="1620" w:type="dxa"/>
            <w:shd w:val="clear" w:color="auto" w:fill="D6E3BC" w:themeFill="accent3" w:themeFillTint="66"/>
            <w:vAlign w:val="center"/>
          </w:tcPr>
          <w:p w14:paraId="73E6B702" w14:textId="0EF0853B" w:rsidR="00582FF2" w:rsidRPr="00582FF2" w:rsidRDefault="00582FF2" w:rsidP="00AF2DE5">
            <w:pPr>
              <w:pStyle w:val="NoSpacing"/>
              <w:jc w:val="center"/>
              <w:rPr>
                <w:rFonts w:asciiTheme="majorHAnsi" w:hAnsiTheme="majorHAnsi"/>
              </w:rPr>
            </w:pPr>
            <w:r>
              <w:rPr>
                <w:rFonts w:asciiTheme="majorHAnsi" w:hAnsiTheme="majorHAnsi"/>
              </w:rPr>
              <w:t>No adjustment</w:t>
            </w:r>
          </w:p>
        </w:tc>
      </w:tr>
      <w:tr w:rsidR="00332D0F" w:rsidRPr="0050405F" w14:paraId="5A778451" w14:textId="77777777" w:rsidTr="00332D0F">
        <w:tc>
          <w:tcPr>
            <w:tcW w:w="4950" w:type="dxa"/>
            <w:shd w:val="clear" w:color="auto" w:fill="D6E3BC" w:themeFill="accent3" w:themeFillTint="66"/>
          </w:tcPr>
          <w:p w14:paraId="1E3A7529" w14:textId="5982F3FE" w:rsidR="00332D0F" w:rsidRDefault="00332D0F" w:rsidP="00332D0F">
            <w:pPr>
              <w:pStyle w:val="NoSpacing"/>
              <w:tabs>
                <w:tab w:val="center" w:pos="2367"/>
                <w:tab w:val="left" w:pos="3600"/>
              </w:tabs>
              <w:rPr>
                <w:rFonts w:asciiTheme="majorHAnsi" w:hAnsiTheme="majorHAnsi"/>
              </w:rPr>
            </w:pPr>
            <w:r>
              <w:rPr>
                <w:rFonts w:asciiTheme="majorHAnsi" w:hAnsiTheme="majorHAnsi"/>
              </w:rPr>
              <w:t>Fail to s</w:t>
            </w:r>
            <w:r w:rsidRPr="0050405F">
              <w:rPr>
                <w:rFonts w:asciiTheme="majorHAnsi" w:hAnsiTheme="majorHAnsi"/>
              </w:rPr>
              <w:t xml:space="preserve">atisfy </w:t>
            </w:r>
            <w:r>
              <w:rPr>
                <w:rFonts w:asciiTheme="majorHAnsi" w:hAnsiTheme="majorHAnsi"/>
              </w:rPr>
              <w:t>PQRS reporting criteria</w:t>
            </w:r>
          </w:p>
        </w:tc>
        <w:tc>
          <w:tcPr>
            <w:tcW w:w="1260" w:type="dxa"/>
            <w:shd w:val="clear" w:color="auto" w:fill="D6E3BC" w:themeFill="accent3" w:themeFillTint="66"/>
          </w:tcPr>
          <w:p w14:paraId="43AD65E2" w14:textId="5C0B4098" w:rsidR="00332D0F" w:rsidRPr="00582FF2" w:rsidRDefault="00332D0F" w:rsidP="00AF2DE5">
            <w:pPr>
              <w:pStyle w:val="NoSpacing"/>
              <w:jc w:val="center"/>
              <w:rPr>
                <w:rFonts w:asciiTheme="majorHAnsi" w:hAnsiTheme="majorHAnsi"/>
              </w:rPr>
            </w:pPr>
            <w:r w:rsidRPr="0050405F">
              <w:rPr>
                <w:rFonts w:asciiTheme="majorHAnsi" w:hAnsiTheme="majorHAnsi"/>
              </w:rPr>
              <w:t>201</w:t>
            </w:r>
            <w:r w:rsidR="00FA6B36">
              <w:rPr>
                <w:rFonts w:asciiTheme="majorHAnsi" w:hAnsiTheme="majorHAnsi"/>
              </w:rPr>
              <w:t>6</w:t>
            </w:r>
          </w:p>
        </w:tc>
        <w:tc>
          <w:tcPr>
            <w:tcW w:w="1440" w:type="dxa"/>
            <w:shd w:val="clear" w:color="auto" w:fill="D6E3BC" w:themeFill="accent3" w:themeFillTint="66"/>
          </w:tcPr>
          <w:p w14:paraId="6E2A6D95" w14:textId="4E1C278C" w:rsidR="00332D0F" w:rsidRPr="00582FF2" w:rsidRDefault="00332D0F" w:rsidP="00AF2DE5">
            <w:pPr>
              <w:pStyle w:val="NoSpacing"/>
              <w:jc w:val="center"/>
              <w:rPr>
                <w:rFonts w:asciiTheme="majorHAnsi" w:hAnsiTheme="majorHAnsi"/>
              </w:rPr>
            </w:pPr>
            <w:r w:rsidRPr="0050405F">
              <w:rPr>
                <w:rFonts w:asciiTheme="majorHAnsi" w:hAnsiTheme="majorHAnsi"/>
              </w:rPr>
              <w:t>201</w:t>
            </w:r>
            <w:r w:rsidR="00FA6B36">
              <w:rPr>
                <w:rFonts w:asciiTheme="majorHAnsi" w:hAnsiTheme="majorHAnsi"/>
              </w:rPr>
              <w:t>8</w:t>
            </w:r>
          </w:p>
        </w:tc>
        <w:tc>
          <w:tcPr>
            <w:tcW w:w="1620" w:type="dxa"/>
            <w:shd w:val="clear" w:color="auto" w:fill="D6E3BC" w:themeFill="accent3" w:themeFillTint="66"/>
          </w:tcPr>
          <w:p w14:paraId="6CBAEF34" w14:textId="7531227D" w:rsidR="00332D0F" w:rsidRDefault="00332D0F" w:rsidP="00AF2DE5">
            <w:pPr>
              <w:pStyle w:val="NoSpacing"/>
              <w:jc w:val="center"/>
              <w:rPr>
                <w:rFonts w:asciiTheme="majorHAnsi" w:hAnsiTheme="majorHAnsi"/>
              </w:rPr>
            </w:pPr>
            <w:r>
              <w:rPr>
                <w:rFonts w:asciiTheme="majorHAnsi" w:hAnsiTheme="majorHAnsi"/>
              </w:rPr>
              <w:t>-2.0</w:t>
            </w:r>
            <w:r w:rsidRPr="0050405F">
              <w:rPr>
                <w:rFonts w:asciiTheme="majorHAnsi" w:hAnsiTheme="majorHAnsi"/>
              </w:rPr>
              <w:t>%</w:t>
            </w:r>
          </w:p>
        </w:tc>
      </w:tr>
    </w:tbl>
    <w:p w14:paraId="1BCCDEA1" w14:textId="2048D057" w:rsidR="00F82231" w:rsidRPr="0050405F" w:rsidRDefault="0050405F" w:rsidP="00616E9B">
      <w:pPr>
        <w:autoSpaceDE w:val="0"/>
        <w:autoSpaceDN w:val="0"/>
        <w:adjustRightInd w:val="0"/>
        <w:spacing w:after="0" w:line="240" w:lineRule="auto"/>
        <w:rPr>
          <w:rFonts w:asciiTheme="majorHAnsi" w:hAnsiTheme="majorHAnsi"/>
          <w:i/>
          <w:sz w:val="20"/>
          <w:szCs w:val="20"/>
        </w:rPr>
      </w:pPr>
      <w:r w:rsidRPr="0050405F">
        <w:rPr>
          <w:rFonts w:asciiTheme="majorHAnsi" w:hAnsiTheme="majorHAnsi"/>
          <w:i/>
          <w:sz w:val="20"/>
          <w:szCs w:val="20"/>
        </w:rPr>
        <w:t>*Payment adjustments are applied to total allowed</w:t>
      </w:r>
      <w:r w:rsidR="005A3DF8">
        <w:rPr>
          <w:rFonts w:asciiTheme="majorHAnsi" w:hAnsiTheme="majorHAnsi"/>
          <w:i/>
          <w:sz w:val="20"/>
          <w:szCs w:val="20"/>
        </w:rPr>
        <w:t xml:space="preserve"> charges for covered Medicare Part B Physician Fee Schedule services provided during the</w:t>
      </w:r>
      <w:r w:rsidRPr="0050405F">
        <w:rPr>
          <w:rFonts w:asciiTheme="majorHAnsi" w:hAnsiTheme="majorHAnsi"/>
          <w:i/>
          <w:sz w:val="20"/>
          <w:szCs w:val="20"/>
        </w:rPr>
        <w:t xml:space="preserve"> reporting </w:t>
      </w:r>
      <w:r w:rsidR="00D75174">
        <w:rPr>
          <w:rFonts w:asciiTheme="majorHAnsi" w:hAnsiTheme="majorHAnsi"/>
          <w:i/>
          <w:sz w:val="20"/>
          <w:szCs w:val="20"/>
        </w:rPr>
        <w:t>year</w:t>
      </w:r>
      <w:r w:rsidRPr="0050405F">
        <w:rPr>
          <w:rFonts w:asciiTheme="majorHAnsi" w:hAnsiTheme="majorHAnsi"/>
          <w:i/>
          <w:sz w:val="20"/>
          <w:szCs w:val="20"/>
        </w:rPr>
        <w:t xml:space="preserve">.  </w:t>
      </w:r>
    </w:p>
    <w:p w14:paraId="271A4E15" w14:textId="30824759" w:rsidR="005A0EE5" w:rsidRPr="0050405F" w:rsidRDefault="00FA6B36" w:rsidP="005A0EE5">
      <w:pPr>
        <w:pStyle w:val="Heading2"/>
        <w:rPr>
          <w:rFonts w:eastAsia="Times New Roman"/>
        </w:rPr>
      </w:pPr>
      <w:r>
        <w:rPr>
          <w:rFonts w:eastAsia="Times New Roman"/>
        </w:rPr>
        <w:t>2016</w:t>
      </w:r>
      <w:r w:rsidR="005A0EE5" w:rsidRPr="0050405F">
        <w:rPr>
          <w:rFonts w:eastAsia="Times New Roman"/>
        </w:rPr>
        <w:t xml:space="preserve"> PQRS Reporting Me</w:t>
      </w:r>
      <w:r w:rsidR="000E73D3" w:rsidRPr="0050405F">
        <w:rPr>
          <w:rFonts w:eastAsia="Times New Roman"/>
        </w:rPr>
        <w:t>thods</w:t>
      </w:r>
    </w:p>
    <w:p w14:paraId="373240DD" w14:textId="0C95350F" w:rsidR="000E73D3" w:rsidRPr="0050405F" w:rsidRDefault="000E73D3" w:rsidP="000E73D3">
      <w:pPr>
        <w:pStyle w:val="NoSpacing"/>
        <w:rPr>
          <w:rFonts w:asciiTheme="majorHAnsi" w:hAnsiTheme="majorHAnsi"/>
        </w:rPr>
      </w:pPr>
      <w:r w:rsidRPr="0050405F">
        <w:rPr>
          <w:rFonts w:asciiTheme="majorHAnsi" w:hAnsiTheme="majorHAnsi"/>
        </w:rPr>
        <w:t>Eligible professionals (EPs) can choose from multiple reporting options to satisfy PQRS reporting requirements</w:t>
      </w:r>
      <w:r w:rsidR="002939E6" w:rsidRPr="0050405F">
        <w:rPr>
          <w:rFonts w:asciiTheme="majorHAnsi" w:hAnsiTheme="majorHAnsi"/>
        </w:rPr>
        <w:t>, including:</w:t>
      </w:r>
      <w:r w:rsidRPr="0050405F">
        <w:rPr>
          <w:rFonts w:asciiTheme="majorHAnsi" w:hAnsiTheme="majorHAnsi"/>
        </w:rPr>
        <w:t xml:space="preserve"> </w:t>
      </w:r>
    </w:p>
    <w:p w14:paraId="1DEF31D5" w14:textId="04FB4EC2" w:rsidR="000E73D3" w:rsidRPr="0050405F" w:rsidRDefault="000E73D3" w:rsidP="000E73D3">
      <w:pPr>
        <w:pStyle w:val="NoSpacing"/>
        <w:numPr>
          <w:ilvl w:val="0"/>
          <w:numId w:val="33"/>
        </w:numPr>
        <w:rPr>
          <w:rFonts w:asciiTheme="majorHAnsi" w:hAnsiTheme="majorHAnsi"/>
        </w:rPr>
      </w:pPr>
      <w:r w:rsidRPr="0050405F">
        <w:rPr>
          <w:rFonts w:asciiTheme="majorHAnsi" w:hAnsiTheme="majorHAnsi"/>
        </w:rPr>
        <w:t xml:space="preserve">Reporting as an individual physician or </w:t>
      </w:r>
      <w:r w:rsidR="00885696" w:rsidRPr="0050405F">
        <w:rPr>
          <w:rFonts w:asciiTheme="majorHAnsi" w:hAnsiTheme="majorHAnsi"/>
        </w:rPr>
        <w:t xml:space="preserve">as a group practice </w:t>
      </w:r>
      <w:r w:rsidRPr="0050405F">
        <w:rPr>
          <w:rFonts w:asciiTheme="majorHAnsi" w:hAnsiTheme="majorHAnsi"/>
        </w:rPr>
        <w:t>under the Group Practice Reporting Option</w:t>
      </w:r>
      <w:r w:rsidR="00122DF6" w:rsidRPr="0050405F">
        <w:rPr>
          <w:rFonts w:asciiTheme="majorHAnsi" w:hAnsiTheme="majorHAnsi"/>
        </w:rPr>
        <w:t xml:space="preserve"> (GPRO)</w:t>
      </w:r>
      <w:r w:rsidR="00B4581F">
        <w:rPr>
          <w:rFonts w:asciiTheme="majorHAnsi" w:hAnsiTheme="majorHAnsi"/>
        </w:rPr>
        <w:t>;</w:t>
      </w:r>
      <w:r w:rsidRPr="0050405F">
        <w:rPr>
          <w:rFonts w:asciiTheme="majorHAnsi" w:hAnsiTheme="majorHAnsi"/>
        </w:rPr>
        <w:t xml:space="preserve"> </w:t>
      </w:r>
    </w:p>
    <w:p w14:paraId="7C578028" w14:textId="1F172815" w:rsidR="000E73D3" w:rsidRPr="0050405F" w:rsidRDefault="000E73D3" w:rsidP="000E73D3">
      <w:pPr>
        <w:pStyle w:val="NoSpacing"/>
        <w:numPr>
          <w:ilvl w:val="0"/>
          <w:numId w:val="33"/>
        </w:numPr>
        <w:rPr>
          <w:rFonts w:asciiTheme="majorHAnsi" w:hAnsiTheme="majorHAnsi"/>
        </w:rPr>
      </w:pPr>
      <w:r w:rsidRPr="0050405F">
        <w:rPr>
          <w:rFonts w:asciiTheme="majorHAnsi" w:hAnsiTheme="majorHAnsi"/>
        </w:rPr>
        <w:t>Reporting individu</w:t>
      </w:r>
      <w:r w:rsidR="00B4508C">
        <w:rPr>
          <w:rFonts w:asciiTheme="majorHAnsi" w:hAnsiTheme="majorHAnsi"/>
        </w:rPr>
        <w:t xml:space="preserve">al measures or measures groups, which are </w:t>
      </w:r>
      <w:r w:rsidRPr="0050405F">
        <w:rPr>
          <w:rFonts w:asciiTheme="majorHAnsi" w:hAnsiTheme="majorHAnsi"/>
        </w:rPr>
        <w:t>sets of clinically relevant measures that must be reported together</w:t>
      </w:r>
      <w:r w:rsidR="00B4508C">
        <w:rPr>
          <w:rFonts w:asciiTheme="majorHAnsi" w:hAnsiTheme="majorHAnsi"/>
        </w:rPr>
        <w:t xml:space="preserve"> </w:t>
      </w:r>
      <w:r w:rsidR="00E23404">
        <w:rPr>
          <w:rFonts w:asciiTheme="majorHAnsi" w:hAnsiTheme="majorHAnsi"/>
          <w:i/>
        </w:rPr>
        <w:t>(</w:t>
      </w:r>
      <w:r w:rsidR="00B4508C" w:rsidRPr="00B4508C">
        <w:rPr>
          <w:rFonts w:asciiTheme="majorHAnsi" w:hAnsiTheme="majorHAnsi"/>
          <w:i/>
        </w:rPr>
        <w:t>currently</w:t>
      </w:r>
      <w:r w:rsidR="00E23404">
        <w:rPr>
          <w:rFonts w:asciiTheme="majorHAnsi" w:hAnsiTheme="majorHAnsi"/>
          <w:i/>
        </w:rPr>
        <w:t>,</w:t>
      </w:r>
      <w:r w:rsidR="00B4508C" w:rsidRPr="00B4508C">
        <w:rPr>
          <w:rFonts w:asciiTheme="majorHAnsi" w:hAnsiTheme="majorHAnsi"/>
          <w:i/>
        </w:rPr>
        <w:t xml:space="preserve"> there are no measures groups</w:t>
      </w:r>
      <w:r w:rsidR="00D90B24">
        <w:rPr>
          <w:rFonts w:asciiTheme="majorHAnsi" w:hAnsiTheme="majorHAnsi"/>
          <w:i/>
        </w:rPr>
        <w:t xml:space="preserve"> entirely</w:t>
      </w:r>
      <w:r w:rsidR="00B4508C" w:rsidRPr="00B4508C">
        <w:rPr>
          <w:rFonts w:asciiTheme="majorHAnsi" w:hAnsiTheme="majorHAnsi"/>
          <w:i/>
        </w:rPr>
        <w:t xml:space="preserve"> relevant to hospice or palliative care providers</w:t>
      </w:r>
      <w:r w:rsidRPr="00B4508C">
        <w:rPr>
          <w:rFonts w:asciiTheme="majorHAnsi" w:hAnsiTheme="majorHAnsi"/>
          <w:i/>
        </w:rPr>
        <w:t>)</w:t>
      </w:r>
      <w:r w:rsidR="00B4581F" w:rsidRPr="00B4508C">
        <w:rPr>
          <w:rFonts w:asciiTheme="majorHAnsi" w:hAnsiTheme="majorHAnsi"/>
          <w:i/>
        </w:rPr>
        <w:t>;</w:t>
      </w:r>
    </w:p>
    <w:p w14:paraId="7D080344" w14:textId="204087B0" w:rsidR="000E73D3" w:rsidRPr="00FA6B36" w:rsidRDefault="000E73D3" w:rsidP="000E73D3">
      <w:pPr>
        <w:pStyle w:val="NoSpacing"/>
        <w:numPr>
          <w:ilvl w:val="0"/>
          <w:numId w:val="33"/>
        </w:numPr>
        <w:rPr>
          <w:rFonts w:asciiTheme="majorHAnsi" w:hAnsiTheme="majorHAnsi"/>
        </w:rPr>
      </w:pPr>
      <w:r w:rsidRPr="0050405F">
        <w:rPr>
          <w:rFonts w:asciiTheme="majorHAnsi" w:hAnsiTheme="majorHAnsi"/>
        </w:rPr>
        <w:t>Reporting via claims, qualified registry, electronic health record (EHR), or qualified clinical data registry (QCDR)</w:t>
      </w:r>
      <w:r w:rsidR="00B4581F">
        <w:rPr>
          <w:rFonts w:asciiTheme="majorHAnsi" w:hAnsiTheme="majorHAnsi"/>
        </w:rPr>
        <w:t>.</w:t>
      </w:r>
      <w:r w:rsidRPr="0050405F">
        <w:rPr>
          <w:rFonts w:asciiTheme="majorHAnsi" w:hAnsiTheme="majorHAnsi"/>
        </w:rPr>
        <w:t xml:space="preserve"> </w:t>
      </w:r>
    </w:p>
    <w:p w14:paraId="069F8720" w14:textId="59F7A639" w:rsidR="00122DF6" w:rsidRPr="0050405F" w:rsidRDefault="00122DF6" w:rsidP="004C0414">
      <w:pPr>
        <w:pStyle w:val="Heading3"/>
        <w:rPr>
          <w:rFonts w:asciiTheme="majorHAnsi" w:hAnsiTheme="majorHAnsi" w:cs="Times New Roman"/>
          <w:sz w:val="26"/>
          <w:szCs w:val="26"/>
        </w:rPr>
      </w:pPr>
      <w:r w:rsidRPr="0050405F">
        <w:rPr>
          <w:rFonts w:asciiTheme="majorHAnsi" w:hAnsiTheme="majorHAnsi"/>
          <w:sz w:val="26"/>
          <w:szCs w:val="26"/>
        </w:rPr>
        <w:t>How to Get Started</w:t>
      </w:r>
    </w:p>
    <w:p w14:paraId="7A268E72" w14:textId="143278B4" w:rsidR="00A97348" w:rsidRPr="0050405F" w:rsidRDefault="00A97348" w:rsidP="00A97348">
      <w:pPr>
        <w:pStyle w:val="NoSpacing"/>
        <w:rPr>
          <w:rFonts w:asciiTheme="majorHAnsi" w:hAnsiTheme="majorHAnsi"/>
          <w:b/>
        </w:rPr>
      </w:pPr>
      <w:r w:rsidRPr="0050405F">
        <w:rPr>
          <w:rFonts w:asciiTheme="majorHAnsi" w:hAnsiTheme="majorHAnsi"/>
          <w:b/>
        </w:rPr>
        <w:t xml:space="preserve">1.  </w:t>
      </w:r>
      <w:r w:rsidR="0042134D" w:rsidRPr="0050405F">
        <w:rPr>
          <w:rFonts w:asciiTheme="majorHAnsi" w:hAnsiTheme="majorHAnsi"/>
          <w:b/>
        </w:rPr>
        <w:t>Determine your e</w:t>
      </w:r>
      <w:r w:rsidR="006C6CC5" w:rsidRPr="0050405F">
        <w:rPr>
          <w:rFonts w:asciiTheme="majorHAnsi" w:hAnsiTheme="majorHAnsi"/>
          <w:b/>
        </w:rPr>
        <w:t>ligibility</w:t>
      </w:r>
    </w:p>
    <w:p w14:paraId="3C1DCBCD" w14:textId="77777777" w:rsidR="00A97348" w:rsidRPr="0050405F" w:rsidRDefault="00A97348" w:rsidP="00A97348">
      <w:pPr>
        <w:pStyle w:val="NoSpacing"/>
        <w:rPr>
          <w:rFonts w:asciiTheme="majorHAnsi" w:hAnsiTheme="majorHAnsi"/>
        </w:rPr>
      </w:pPr>
    </w:p>
    <w:p w14:paraId="0B63252D" w14:textId="13B65553" w:rsidR="00A97348" w:rsidRPr="0050405F" w:rsidRDefault="00DA1C03" w:rsidP="00A97348">
      <w:pPr>
        <w:pStyle w:val="NoSpacing"/>
        <w:rPr>
          <w:rFonts w:asciiTheme="majorHAnsi" w:hAnsiTheme="majorHAnsi"/>
        </w:rPr>
      </w:pPr>
      <w:hyperlink r:id="rId8" w:history="1">
        <w:r w:rsidR="00A97348" w:rsidRPr="008F5118">
          <w:rPr>
            <w:rStyle w:val="Hyperlink"/>
            <w:rFonts w:asciiTheme="majorHAnsi" w:hAnsiTheme="majorHAnsi"/>
          </w:rPr>
          <w:t>Click here</w:t>
        </w:r>
      </w:hyperlink>
      <w:r w:rsidR="00A97348" w:rsidRPr="0050405F">
        <w:rPr>
          <w:rFonts w:asciiTheme="majorHAnsi" w:hAnsiTheme="majorHAnsi"/>
        </w:rPr>
        <w:t xml:space="preserve"> for more information on which professionals are considered eligible for purposes of the PQRS. </w:t>
      </w:r>
      <w:r w:rsidR="008F5118">
        <w:rPr>
          <w:rFonts w:asciiTheme="majorHAnsi" w:hAnsiTheme="majorHAnsi"/>
        </w:rPr>
        <w:t xml:space="preserve">Since the program is now penalty-only, this list is important to review because it </w:t>
      </w:r>
      <w:r w:rsidR="00273FFF">
        <w:rPr>
          <w:rFonts w:asciiTheme="majorHAnsi" w:hAnsiTheme="majorHAnsi"/>
        </w:rPr>
        <w:t xml:space="preserve">indicates all of the professionals in a practice that may be subject to a penalty if they do comply with programs requirements.  </w:t>
      </w:r>
      <w:r w:rsidR="00A97348" w:rsidRPr="0050405F">
        <w:rPr>
          <w:rFonts w:asciiTheme="majorHAnsi" w:hAnsiTheme="majorHAnsi"/>
        </w:rPr>
        <w:t xml:space="preserve">Please </w:t>
      </w:r>
      <w:r w:rsidR="00273FFF">
        <w:rPr>
          <w:rFonts w:asciiTheme="majorHAnsi" w:hAnsiTheme="majorHAnsi"/>
        </w:rPr>
        <w:t xml:space="preserve">also note that </w:t>
      </w:r>
      <w:r w:rsidR="00A97348" w:rsidRPr="0050405F">
        <w:rPr>
          <w:rFonts w:asciiTheme="majorHAnsi" w:hAnsiTheme="majorHAnsi"/>
        </w:rPr>
        <w:t xml:space="preserve">not all professionals are considered eligible </w:t>
      </w:r>
      <w:r w:rsidR="0090732B" w:rsidRPr="0050405F">
        <w:rPr>
          <w:rFonts w:asciiTheme="majorHAnsi" w:hAnsiTheme="majorHAnsi"/>
        </w:rPr>
        <w:t>if</w:t>
      </w:r>
      <w:r w:rsidR="00A97348" w:rsidRPr="0050405F">
        <w:rPr>
          <w:rFonts w:asciiTheme="majorHAnsi" w:hAnsiTheme="majorHAnsi"/>
        </w:rPr>
        <w:t xml:space="preserve"> reimbursed </w:t>
      </w:r>
      <w:r w:rsidR="0090732B" w:rsidRPr="0050405F">
        <w:rPr>
          <w:rFonts w:asciiTheme="majorHAnsi" w:hAnsiTheme="majorHAnsi"/>
        </w:rPr>
        <w:t>under</w:t>
      </w:r>
      <w:r w:rsidR="00A97348" w:rsidRPr="0050405F">
        <w:rPr>
          <w:rFonts w:asciiTheme="majorHAnsi" w:hAnsiTheme="majorHAnsi"/>
        </w:rPr>
        <w:t xml:space="preserve"> fee schedule methods </w:t>
      </w:r>
      <w:r w:rsidR="0090732B" w:rsidRPr="0050405F">
        <w:rPr>
          <w:rFonts w:asciiTheme="majorHAnsi" w:hAnsiTheme="majorHAnsi"/>
        </w:rPr>
        <w:t xml:space="preserve">other </w:t>
      </w:r>
      <w:r w:rsidR="00A97348" w:rsidRPr="0050405F">
        <w:rPr>
          <w:rFonts w:asciiTheme="majorHAnsi" w:hAnsiTheme="majorHAnsi"/>
        </w:rPr>
        <w:t xml:space="preserve">than the Medicare Physician Fee Schedule.  </w:t>
      </w:r>
    </w:p>
    <w:p w14:paraId="7595E392" w14:textId="77777777" w:rsidR="00A97348" w:rsidRPr="0050405F" w:rsidRDefault="00A97348" w:rsidP="00A97348">
      <w:pPr>
        <w:pStyle w:val="NoSpacing"/>
        <w:rPr>
          <w:rFonts w:asciiTheme="majorHAnsi" w:hAnsiTheme="majorHAnsi"/>
        </w:rPr>
      </w:pPr>
    </w:p>
    <w:p w14:paraId="21F596B7" w14:textId="34948B8E" w:rsidR="006C6CC5" w:rsidRPr="0050405F" w:rsidRDefault="0068116A" w:rsidP="00AA5525">
      <w:pPr>
        <w:widowControl w:val="0"/>
        <w:autoSpaceDE w:val="0"/>
        <w:autoSpaceDN w:val="0"/>
        <w:adjustRightInd w:val="0"/>
        <w:spacing w:line="240" w:lineRule="auto"/>
        <w:rPr>
          <w:rFonts w:asciiTheme="majorHAnsi" w:hAnsiTheme="majorHAnsi" w:cs="Arial"/>
          <w:color w:val="313431"/>
        </w:rPr>
      </w:pPr>
      <w:r w:rsidRPr="0050405F">
        <w:rPr>
          <w:rFonts w:asciiTheme="majorHAnsi" w:hAnsiTheme="majorHAnsi" w:cs="Arial"/>
          <w:color w:val="313431"/>
        </w:rPr>
        <w:t xml:space="preserve">In terms of the GPRO, </w:t>
      </w:r>
      <w:r w:rsidR="00A97348" w:rsidRPr="0050405F">
        <w:rPr>
          <w:rFonts w:asciiTheme="majorHAnsi" w:hAnsiTheme="majorHAnsi" w:cs="Arial"/>
          <w:color w:val="313431"/>
        </w:rPr>
        <w:t xml:space="preserve">CMS defines “group practice” as those with 2 or more EPs, identified by individual National Provider Identifiers (NPIs), who reassign their billing rights to a single Tax Identification Number (TIN). All individual </w:t>
      </w:r>
      <w:r w:rsidR="00B204FA">
        <w:rPr>
          <w:rFonts w:asciiTheme="majorHAnsi" w:hAnsiTheme="majorHAnsi" w:cs="Arial"/>
          <w:color w:val="313431"/>
        </w:rPr>
        <w:t xml:space="preserve">EPs </w:t>
      </w:r>
      <w:r w:rsidR="00A97348" w:rsidRPr="0050405F">
        <w:rPr>
          <w:rFonts w:asciiTheme="majorHAnsi" w:hAnsiTheme="majorHAnsi" w:cs="Arial"/>
          <w:color w:val="313431"/>
        </w:rPr>
        <w:t xml:space="preserve">who have reassigned their billing rights to a TIN and whose group self-nominates and reports satisfactorily </w:t>
      </w:r>
      <w:r w:rsidR="00A97348" w:rsidRPr="00273FFF">
        <w:rPr>
          <w:rFonts w:asciiTheme="majorHAnsi" w:hAnsiTheme="majorHAnsi" w:cs="Arial"/>
          <w:i/>
          <w:color w:val="313431"/>
        </w:rPr>
        <w:t>as a group</w:t>
      </w:r>
      <w:r w:rsidR="00A97348" w:rsidRPr="0050405F">
        <w:rPr>
          <w:rFonts w:asciiTheme="majorHAnsi" w:hAnsiTheme="majorHAnsi" w:cs="Arial"/>
          <w:color w:val="313431"/>
        </w:rPr>
        <w:t xml:space="preserve"> will be considered satisfactory PQRS reporters even if the </w:t>
      </w:r>
      <w:r w:rsidR="005D3F9B">
        <w:rPr>
          <w:rFonts w:asciiTheme="majorHAnsi" w:hAnsiTheme="majorHAnsi" w:cs="Arial"/>
          <w:color w:val="313431"/>
        </w:rPr>
        <w:t>group does not report</w:t>
      </w:r>
      <w:r w:rsidR="00A97348" w:rsidRPr="0050405F">
        <w:rPr>
          <w:rFonts w:asciiTheme="majorHAnsi" w:hAnsiTheme="majorHAnsi" w:cs="Arial"/>
          <w:color w:val="313431"/>
        </w:rPr>
        <w:t xml:space="preserve"> measure data </w:t>
      </w:r>
      <w:r w:rsidR="00A1763C">
        <w:rPr>
          <w:rFonts w:asciiTheme="majorHAnsi" w:hAnsiTheme="majorHAnsi" w:cs="Arial"/>
          <w:color w:val="313431"/>
        </w:rPr>
        <w:t>specifically related to each</w:t>
      </w:r>
      <w:r w:rsidR="00A97348" w:rsidRPr="0050405F">
        <w:rPr>
          <w:rFonts w:asciiTheme="majorHAnsi" w:hAnsiTheme="majorHAnsi" w:cs="Arial"/>
          <w:color w:val="313431"/>
        </w:rPr>
        <w:t xml:space="preserve"> individual</w:t>
      </w:r>
      <w:r w:rsidR="00A1763C">
        <w:rPr>
          <w:rFonts w:asciiTheme="majorHAnsi" w:hAnsiTheme="majorHAnsi" w:cs="Arial"/>
          <w:color w:val="313431"/>
        </w:rPr>
        <w:t xml:space="preserve"> professional’s</w:t>
      </w:r>
      <w:r w:rsidR="00A97348" w:rsidRPr="0050405F">
        <w:rPr>
          <w:rFonts w:asciiTheme="majorHAnsi" w:hAnsiTheme="majorHAnsi" w:cs="Arial"/>
          <w:color w:val="313431"/>
        </w:rPr>
        <w:t xml:space="preserve"> services</w:t>
      </w:r>
      <w:r w:rsidR="00A1763C">
        <w:rPr>
          <w:rFonts w:asciiTheme="majorHAnsi" w:hAnsiTheme="majorHAnsi" w:cs="Arial"/>
          <w:color w:val="313431"/>
        </w:rPr>
        <w:t>.</w:t>
      </w:r>
    </w:p>
    <w:p w14:paraId="43A9A54D" w14:textId="6F97A56E" w:rsidR="00AA5525" w:rsidRPr="0050405F" w:rsidRDefault="00AA5525" w:rsidP="00AA5525">
      <w:pPr>
        <w:widowControl w:val="0"/>
        <w:autoSpaceDE w:val="0"/>
        <w:autoSpaceDN w:val="0"/>
        <w:adjustRightInd w:val="0"/>
        <w:spacing w:line="240" w:lineRule="auto"/>
        <w:rPr>
          <w:rFonts w:asciiTheme="majorHAnsi" w:hAnsiTheme="majorHAnsi" w:cs="Arial"/>
          <w:b/>
          <w:color w:val="313431"/>
        </w:rPr>
      </w:pPr>
      <w:r w:rsidRPr="0050405F">
        <w:rPr>
          <w:rFonts w:asciiTheme="majorHAnsi" w:hAnsiTheme="majorHAnsi" w:cs="Arial"/>
          <w:b/>
          <w:color w:val="313431"/>
        </w:rPr>
        <w:t xml:space="preserve">2. Review each method’s specific reporting criteria to determine which reporting option is best for </w:t>
      </w:r>
      <w:r w:rsidR="0068116A" w:rsidRPr="0050405F">
        <w:rPr>
          <w:rFonts w:asciiTheme="majorHAnsi" w:hAnsiTheme="majorHAnsi" w:cs="Arial"/>
          <w:b/>
          <w:color w:val="313431"/>
        </w:rPr>
        <w:t>you.</w:t>
      </w:r>
    </w:p>
    <w:p w14:paraId="2C5FF4ED" w14:textId="6FB47B10" w:rsidR="00514DAE" w:rsidRDefault="00FA6B36" w:rsidP="00D0280E">
      <w:pPr>
        <w:pStyle w:val="NoSpacing"/>
        <w:rPr>
          <w:rFonts w:asciiTheme="majorHAnsi" w:hAnsiTheme="majorHAnsi"/>
        </w:rPr>
      </w:pPr>
      <w:r>
        <w:rPr>
          <w:rFonts w:asciiTheme="majorHAnsi" w:hAnsiTheme="majorHAnsi"/>
        </w:rPr>
        <w:t>For 2016</w:t>
      </w:r>
      <w:r w:rsidR="00514DAE">
        <w:rPr>
          <w:rFonts w:asciiTheme="majorHAnsi" w:hAnsiTheme="majorHAnsi"/>
        </w:rPr>
        <w:t>, most reporting options require that the individual or grou</w:t>
      </w:r>
      <w:r w:rsidR="00883CEF">
        <w:rPr>
          <w:rFonts w:asciiTheme="majorHAnsi" w:hAnsiTheme="majorHAnsi"/>
        </w:rPr>
        <w:t>p</w:t>
      </w:r>
      <w:r w:rsidR="00514DAE">
        <w:rPr>
          <w:rFonts w:asciiTheme="majorHAnsi" w:hAnsiTheme="majorHAnsi"/>
        </w:rPr>
        <w:t xml:space="preserve"> practice </w:t>
      </w:r>
      <w:r w:rsidR="00883CEF">
        <w:rPr>
          <w:rFonts w:asciiTheme="majorHAnsi" w:hAnsiTheme="majorHAnsi"/>
        </w:rPr>
        <w:t xml:space="preserve">report on 9 measures, including 1 </w:t>
      </w:r>
      <w:r w:rsidR="00883CEF" w:rsidRPr="00BE204A">
        <w:rPr>
          <w:rFonts w:asciiTheme="majorHAnsi" w:hAnsiTheme="majorHAnsi"/>
        </w:rPr>
        <w:t>“cross-cutting” measure</w:t>
      </w:r>
      <w:r w:rsidR="00883CEF">
        <w:rPr>
          <w:rFonts w:asciiTheme="majorHAnsi" w:hAnsiTheme="majorHAnsi"/>
        </w:rPr>
        <w:t xml:space="preserve">, for 50% of all applicable Medicare Part B patients over the reporting year.  PQRS measures are categorized into National Quality Strategy (NQS) domains and the 9 measures reported must come from at least 3 of these domains.   </w:t>
      </w:r>
    </w:p>
    <w:p w14:paraId="61D4DF56" w14:textId="77777777" w:rsidR="00514DAE" w:rsidRDefault="00514DAE" w:rsidP="00D0280E">
      <w:pPr>
        <w:pStyle w:val="NoSpacing"/>
        <w:rPr>
          <w:rFonts w:asciiTheme="majorHAnsi" w:hAnsiTheme="majorHAnsi"/>
        </w:rPr>
      </w:pPr>
    </w:p>
    <w:p w14:paraId="5E3758EE" w14:textId="3DB71788" w:rsidR="00AA5525" w:rsidRDefault="00DA1C03" w:rsidP="00D0280E">
      <w:pPr>
        <w:pStyle w:val="NoSpacing"/>
        <w:rPr>
          <w:rFonts w:asciiTheme="majorHAnsi" w:hAnsiTheme="majorHAnsi" w:cs="Arial"/>
          <w:b/>
        </w:rPr>
      </w:pPr>
      <w:hyperlink w:anchor="Graphs" w:history="1">
        <w:r w:rsidR="00967217" w:rsidRPr="00C132B1">
          <w:rPr>
            <w:rStyle w:val="Hyperlink"/>
            <w:rFonts w:asciiTheme="majorHAnsi" w:hAnsiTheme="majorHAnsi"/>
          </w:rPr>
          <w:t xml:space="preserve">Click </w:t>
        </w:r>
        <w:r w:rsidR="00967217" w:rsidRPr="00C132B1">
          <w:rPr>
            <w:rStyle w:val="Hyperlink"/>
            <w:rFonts w:asciiTheme="majorHAnsi" w:hAnsiTheme="majorHAnsi"/>
            <w:b/>
          </w:rPr>
          <w:t>here</w:t>
        </w:r>
      </w:hyperlink>
      <w:r w:rsidR="00967217">
        <w:rPr>
          <w:rFonts w:asciiTheme="majorHAnsi" w:hAnsiTheme="majorHAnsi"/>
        </w:rPr>
        <w:t xml:space="preserve"> for more information </w:t>
      </w:r>
      <w:r w:rsidR="00772F16">
        <w:rPr>
          <w:rFonts w:asciiTheme="majorHAnsi" w:hAnsiTheme="majorHAnsi"/>
        </w:rPr>
        <w:t xml:space="preserve">about </w:t>
      </w:r>
      <w:r w:rsidR="00514DAE">
        <w:rPr>
          <w:rFonts w:asciiTheme="majorHAnsi" w:hAnsiTheme="majorHAnsi"/>
        </w:rPr>
        <w:t xml:space="preserve">the requirements linked to each </w:t>
      </w:r>
      <w:r w:rsidR="00D0280E">
        <w:rPr>
          <w:rFonts w:asciiTheme="majorHAnsi" w:hAnsiTheme="majorHAnsi"/>
        </w:rPr>
        <w:t>reporting option</w:t>
      </w:r>
      <w:r w:rsidR="00514DAE">
        <w:rPr>
          <w:rFonts w:asciiTheme="majorHAnsi" w:hAnsiTheme="majorHAnsi"/>
        </w:rPr>
        <w:t xml:space="preserve">.  </w:t>
      </w:r>
      <w:r w:rsidR="00772F16" w:rsidRPr="00772F16">
        <w:rPr>
          <w:rFonts w:asciiTheme="majorHAnsi" w:hAnsiTheme="majorHAnsi" w:cs="Arial"/>
        </w:rPr>
        <w:t>Additional resources</w:t>
      </w:r>
      <w:r w:rsidR="00F620A6">
        <w:rPr>
          <w:rFonts w:asciiTheme="majorHAnsi" w:hAnsiTheme="majorHAnsi" w:cs="Arial"/>
        </w:rPr>
        <w:t xml:space="preserve"> with more detailed instructions are listed below:</w:t>
      </w:r>
    </w:p>
    <w:p w14:paraId="5DCA56FC" w14:textId="77777777" w:rsidR="00D0280E" w:rsidRPr="00D0280E" w:rsidRDefault="00D0280E" w:rsidP="00D0280E">
      <w:pPr>
        <w:pStyle w:val="NoSpacing"/>
        <w:rPr>
          <w:rFonts w:asciiTheme="majorHAnsi" w:hAnsiTheme="majorHAnsi"/>
        </w:rPr>
      </w:pPr>
    </w:p>
    <w:p w14:paraId="0828DABC" w14:textId="5AE7C7EF" w:rsidR="00D7745D" w:rsidRPr="00D7745D" w:rsidRDefault="00DA1C03" w:rsidP="00D7745D">
      <w:pPr>
        <w:pStyle w:val="NoSpacing"/>
        <w:numPr>
          <w:ilvl w:val="0"/>
          <w:numId w:val="35"/>
        </w:numPr>
        <w:rPr>
          <w:rFonts w:asciiTheme="majorHAnsi" w:hAnsiTheme="majorHAnsi"/>
        </w:rPr>
      </w:pPr>
      <w:hyperlink r:id="rId9" w:history="1">
        <w:r w:rsidR="00D7745D" w:rsidRPr="00D7745D">
          <w:rPr>
            <w:rStyle w:val="Hyperlink"/>
            <w:rFonts w:asciiTheme="majorHAnsi" w:hAnsiTheme="majorHAnsi"/>
          </w:rPr>
          <w:t>Click here</w:t>
        </w:r>
      </w:hyperlink>
      <w:r w:rsidR="00D7745D">
        <w:rPr>
          <w:rFonts w:asciiTheme="majorHAnsi" w:hAnsiTheme="majorHAnsi"/>
        </w:rPr>
        <w:t xml:space="preserve"> for more d</w:t>
      </w:r>
      <w:r w:rsidR="00F620A6">
        <w:rPr>
          <w:rFonts w:asciiTheme="majorHAnsi" w:hAnsiTheme="majorHAnsi"/>
        </w:rPr>
        <w:t>etailed instructions on how to report</w:t>
      </w:r>
      <w:r w:rsidR="00D7745D">
        <w:rPr>
          <w:rFonts w:asciiTheme="majorHAnsi" w:hAnsiTheme="majorHAnsi"/>
        </w:rPr>
        <w:t xml:space="preserve"> quality</w:t>
      </w:r>
      <w:r w:rsidR="00F620A6">
        <w:rPr>
          <w:rFonts w:asciiTheme="majorHAnsi" w:hAnsiTheme="majorHAnsi"/>
        </w:rPr>
        <w:t xml:space="preserve"> measures</w:t>
      </w:r>
      <w:r w:rsidR="00D7745D">
        <w:rPr>
          <w:rFonts w:asciiTheme="majorHAnsi" w:hAnsiTheme="majorHAnsi"/>
        </w:rPr>
        <w:t xml:space="preserve"> data via claims.  </w:t>
      </w:r>
    </w:p>
    <w:p w14:paraId="7C47CBB6" w14:textId="31E88DB9" w:rsidR="00AA5525" w:rsidRPr="00FB6CCD" w:rsidRDefault="00DA1C03" w:rsidP="00AA5525">
      <w:pPr>
        <w:pStyle w:val="NoSpacing"/>
        <w:numPr>
          <w:ilvl w:val="0"/>
          <w:numId w:val="35"/>
        </w:numPr>
        <w:rPr>
          <w:rFonts w:asciiTheme="majorHAnsi" w:hAnsiTheme="majorHAnsi"/>
        </w:rPr>
      </w:pPr>
      <w:hyperlink r:id="rId10" w:history="1">
        <w:r w:rsidR="00AA5525" w:rsidRPr="001F0FD7">
          <w:rPr>
            <w:rStyle w:val="Hyperlink"/>
            <w:rFonts w:asciiTheme="majorHAnsi" w:hAnsiTheme="majorHAnsi"/>
          </w:rPr>
          <w:t>Click here</w:t>
        </w:r>
      </w:hyperlink>
      <w:r w:rsidR="00AA5525" w:rsidRPr="0050405F">
        <w:rPr>
          <w:rFonts w:asciiTheme="majorHAnsi" w:hAnsiTheme="majorHAnsi"/>
        </w:rPr>
        <w:t xml:space="preserve"> for additional information about</w:t>
      </w:r>
      <w:r w:rsidR="001F0FD7">
        <w:rPr>
          <w:rFonts w:asciiTheme="majorHAnsi" w:hAnsiTheme="majorHAnsi"/>
        </w:rPr>
        <w:t xml:space="preserve"> reporting via a </w:t>
      </w:r>
      <w:r w:rsidR="00AA5525" w:rsidRPr="007C4602">
        <w:rPr>
          <w:rFonts w:asciiTheme="majorHAnsi" w:hAnsiTheme="majorHAnsi"/>
          <w:b/>
        </w:rPr>
        <w:t>qualified</w:t>
      </w:r>
      <w:r w:rsidR="001F0FD7" w:rsidRPr="007C4602">
        <w:rPr>
          <w:rFonts w:asciiTheme="majorHAnsi" w:hAnsiTheme="majorHAnsi"/>
          <w:b/>
        </w:rPr>
        <w:t xml:space="preserve"> PQRS </w:t>
      </w:r>
      <w:r w:rsidR="00AA5525" w:rsidRPr="007C4602">
        <w:rPr>
          <w:rFonts w:asciiTheme="majorHAnsi" w:hAnsiTheme="majorHAnsi"/>
          <w:b/>
        </w:rPr>
        <w:t>registry</w:t>
      </w:r>
      <w:r w:rsidR="001F0FD7" w:rsidRPr="007C4602">
        <w:rPr>
          <w:rFonts w:asciiTheme="majorHAnsi" w:hAnsiTheme="majorHAnsi"/>
          <w:b/>
        </w:rPr>
        <w:t>,</w:t>
      </w:r>
      <w:r w:rsidR="00391C9E">
        <w:rPr>
          <w:rFonts w:asciiTheme="majorHAnsi" w:hAnsiTheme="majorHAnsi"/>
          <w:b/>
          <w:u w:val="single"/>
        </w:rPr>
        <w:t xml:space="preserve"> </w:t>
      </w:r>
      <w:r w:rsidR="00AA5525" w:rsidRPr="0050405F">
        <w:rPr>
          <w:rFonts w:asciiTheme="majorHAnsi" w:hAnsiTheme="majorHAnsi"/>
        </w:rPr>
        <w:t xml:space="preserve">including a list of qualified </w:t>
      </w:r>
      <w:r w:rsidR="00FB6CCD">
        <w:rPr>
          <w:rFonts w:asciiTheme="majorHAnsi" w:hAnsiTheme="majorHAnsi"/>
        </w:rPr>
        <w:t xml:space="preserve">registry </w:t>
      </w:r>
      <w:r w:rsidR="00AA5525" w:rsidRPr="0050405F">
        <w:rPr>
          <w:rFonts w:asciiTheme="majorHAnsi" w:hAnsiTheme="majorHAnsi"/>
        </w:rPr>
        <w:t xml:space="preserve">vendors </w:t>
      </w:r>
      <w:r w:rsidR="00FD30AE">
        <w:rPr>
          <w:rFonts w:asciiTheme="majorHAnsi" w:hAnsiTheme="majorHAnsi"/>
        </w:rPr>
        <w:t>and a guide titled, “2016</w:t>
      </w:r>
      <w:r w:rsidR="00AA5525" w:rsidRPr="0050405F">
        <w:rPr>
          <w:rFonts w:asciiTheme="majorHAnsi" w:hAnsiTheme="majorHAnsi"/>
        </w:rPr>
        <w:t xml:space="preserve"> PQRS</w:t>
      </w:r>
      <w:r w:rsidR="001F0FD7">
        <w:rPr>
          <w:rFonts w:asciiTheme="majorHAnsi" w:hAnsiTheme="majorHAnsi"/>
        </w:rPr>
        <w:t xml:space="preserve"> Registry Reporting Made Simple</w:t>
      </w:r>
      <w:r w:rsidR="00FD30AE">
        <w:rPr>
          <w:rFonts w:asciiTheme="majorHAnsi" w:hAnsiTheme="majorHAnsi"/>
        </w:rPr>
        <w:t>.</w:t>
      </w:r>
      <w:r w:rsidR="00AA5525" w:rsidRPr="0050405F">
        <w:rPr>
          <w:rFonts w:asciiTheme="majorHAnsi" w:hAnsiTheme="majorHAnsi"/>
        </w:rPr>
        <w:t>”</w:t>
      </w:r>
      <w:r w:rsidR="00FD30AE">
        <w:rPr>
          <w:rFonts w:asciiTheme="majorHAnsi" w:hAnsiTheme="majorHAnsi"/>
        </w:rPr>
        <w:t xml:space="preserve"> </w:t>
      </w:r>
      <w:r w:rsidR="00B57783" w:rsidRPr="00FB6CCD">
        <w:rPr>
          <w:rFonts w:asciiTheme="majorHAnsi" w:hAnsiTheme="majorHAnsi"/>
        </w:rPr>
        <w:t xml:space="preserve">AAHPM is not </w:t>
      </w:r>
      <w:r w:rsidR="00391C9E">
        <w:rPr>
          <w:rFonts w:asciiTheme="majorHAnsi" w:hAnsiTheme="majorHAnsi"/>
        </w:rPr>
        <w:t>affiliated with a</w:t>
      </w:r>
      <w:r w:rsidR="00B57783" w:rsidRPr="00FB6CCD">
        <w:rPr>
          <w:rFonts w:asciiTheme="majorHAnsi" w:hAnsiTheme="majorHAnsi"/>
        </w:rPr>
        <w:t xml:space="preserve"> qualified registry </w:t>
      </w:r>
      <w:r w:rsidR="00FD30AE" w:rsidRPr="00FB6CCD">
        <w:rPr>
          <w:rFonts w:asciiTheme="majorHAnsi" w:hAnsiTheme="majorHAnsi"/>
        </w:rPr>
        <w:t>for 2016</w:t>
      </w:r>
      <w:r w:rsidR="007C4602" w:rsidRPr="00FB6CCD">
        <w:rPr>
          <w:rFonts w:asciiTheme="majorHAnsi" w:hAnsiTheme="majorHAnsi"/>
        </w:rPr>
        <w:t>. However,</w:t>
      </w:r>
      <w:r w:rsidR="00B57783" w:rsidRPr="00FB6CCD">
        <w:rPr>
          <w:rFonts w:asciiTheme="majorHAnsi" w:hAnsiTheme="majorHAnsi"/>
        </w:rPr>
        <w:t xml:space="preserve"> there are multiple vendors that can, for a fee, collect data on any PQRS measure on behalf of an EP and submit it to CMS</w:t>
      </w:r>
      <w:r w:rsidR="007C4602" w:rsidRPr="00FB6CCD">
        <w:rPr>
          <w:rFonts w:asciiTheme="majorHAnsi" w:hAnsiTheme="majorHAnsi"/>
        </w:rPr>
        <w:t xml:space="preserve"> so you are encouraged to review the list of vendors if you are interested in this option</w:t>
      </w:r>
      <w:r w:rsidR="00B57783" w:rsidRPr="00F620A6">
        <w:rPr>
          <w:rFonts w:asciiTheme="majorHAnsi" w:hAnsiTheme="majorHAnsi"/>
          <w:i/>
        </w:rPr>
        <w:t xml:space="preserve">.   </w:t>
      </w:r>
    </w:p>
    <w:p w14:paraId="08F5B460" w14:textId="5623789F" w:rsidR="00FB6CCD" w:rsidRPr="00FB6CCD" w:rsidRDefault="00DA1C03" w:rsidP="00AA5525">
      <w:pPr>
        <w:pStyle w:val="NoSpacing"/>
        <w:numPr>
          <w:ilvl w:val="0"/>
          <w:numId w:val="35"/>
        </w:numPr>
        <w:rPr>
          <w:rFonts w:asciiTheme="majorHAnsi" w:hAnsiTheme="majorHAnsi"/>
        </w:rPr>
      </w:pPr>
      <w:hyperlink r:id="rId11" w:history="1">
        <w:r w:rsidR="00FB6CCD" w:rsidRPr="00FB6CCD">
          <w:rPr>
            <w:rStyle w:val="Hyperlink"/>
            <w:rFonts w:asciiTheme="majorHAnsi" w:hAnsiTheme="majorHAnsi"/>
          </w:rPr>
          <w:t>Click here</w:t>
        </w:r>
      </w:hyperlink>
      <w:r w:rsidR="00FB6CCD" w:rsidRPr="00FB6CCD">
        <w:rPr>
          <w:rFonts w:asciiTheme="majorHAnsi" w:hAnsiTheme="majorHAnsi"/>
        </w:rPr>
        <w:t xml:space="preserve"> for additional information about reporting via a </w:t>
      </w:r>
      <w:r w:rsidR="00FB6CCD" w:rsidRPr="00FB6CCD">
        <w:rPr>
          <w:rFonts w:asciiTheme="majorHAnsi" w:hAnsiTheme="majorHAnsi"/>
          <w:b/>
        </w:rPr>
        <w:t>qualified clinical data registry (QCDR)</w:t>
      </w:r>
      <w:r w:rsidR="00FB6CCD">
        <w:rPr>
          <w:rFonts w:asciiTheme="majorHAnsi" w:hAnsiTheme="majorHAnsi"/>
        </w:rPr>
        <w:t xml:space="preserve">, </w:t>
      </w:r>
      <w:r w:rsidR="00FB6CCD" w:rsidRPr="0050405F">
        <w:rPr>
          <w:rFonts w:asciiTheme="majorHAnsi" w:hAnsiTheme="majorHAnsi"/>
        </w:rPr>
        <w:t xml:space="preserve">including a list of qualified </w:t>
      </w:r>
      <w:r w:rsidR="00FB6CCD">
        <w:rPr>
          <w:rFonts w:asciiTheme="majorHAnsi" w:hAnsiTheme="majorHAnsi"/>
        </w:rPr>
        <w:t xml:space="preserve">QCDR </w:t>
      </w:r>
      <w:r w:rsidR="00FB6CCD" w:rsidRPr="0050405F">
        <w:rPr>
          <w:rFonts w:asciiTheme="majorHAnsi" w:hAnsiTheme="majorHAnsi"/>
        </w:rPr>
        <w:t xml:space="preserve">vendors </w:t>
      </w:r>
      <w:r w:rsidR="00FB6CCD">
        <w:rPr>
          <w:rFonts w:asciiTheme="majorHAnsi" w:hAnsiTheme="majorHAnsi"/>
        </w:rPr>
        <w:t>and a guide titled, “2016</w:t>
      </w:r>
      <w:r w:rsidR="00FB6CCD" w:rsidRPr="0050405F">
        <w:rPr>
          <w:rFonts w:asciiTheme="majorHAnsi" w:hAnsiTheme="majorHAnsi"/>
        </w:rPr>
        <w:t xml:space="preserve"> PQRS</w:t>
      </w:r>
      <w:r w:rsidR="00FB6CCD">
        <w:rPr>
          <w:rFonts w:asciiTheme="majorHAnsi" w:hAnsiTheme="majorHAnsi"/>
        </w:rPr>
        <w:t xml:space="preserve"> QCDR Reporting Made Simple.</w:t>
      </w:r>
      <w:r w:rsidR="00FB6CCD" w:rsidRPr="0050405F">
        <w:rPr>
          <w:rFonts w:asciiTheme="majorHAnsi" w:hAnsiTheme="majorHAnsi"/>
        </w:rPr>
        <w:t>”</w:t>
      </w:r>
      <w:r w:rsidR="00FB6CCD">
        <w:rPr>
          <w:rFonts w:asciiTheme="majorHAnsi" w:hAnsiTheme="majorHAnsi"/>
        </w:rPr>
        <w:t xml:space="preserve"> </w:t>
      </w:r>
      <w:r w:rsidR="00FB6CCD" w:rsidRPr="00FB6CCD">
        <w:rPr>
          <w:rFonts w:asciiTheme="majorHAnsi" w:hAnsiTheme="majorHAnsi"/>
        </w:rPr>
        <w:t xml:space="preserve">  </w:t>
      </w:r>
      <w:r w:rsidR="00741CF8">
        <w:rPr>
          <w:rFonts w:asciiTheme="majorHAnsi" w:hAnsiTheme="majorHAnsi"/>
        </w:rPr>
        <w:t xml:space="preserve">QCDRs are a newer and potentially more attractive reporting option under the PQRS since they allow for the reporting of more unique and specialty focused measures that are not necessarily part of the traditional PQRS measure set. While    </w:t>
      </w:r>
      <w:r w:rsidR="00FB6CCD" w:rsidRPr="00FB6CCD">
        <w:rPr>
          <w:rFonts w:asciiTheme="majorHAnsi" w:hAnsiTheme="majorHAnsi"/>
        </w:rPr>
        <w:t xml:space="preserve">AAHPM </w:t>
      </w:r>
      <w:r w:rsidR="00FB6CCD">
        <w:rPr>
          <w:rFonts w:asciiTheme="majorHAnsi" w:hAnsiTheme="majorHAnsi"/>
        </w:rPr>
        <w:t>does not, at this time, offer its</w:t>
      </w:r>
      <w:r w:rsidR="00FB6CCD" w:rsidRPr="00FB6CCD">
        <w:rPr>
          <w:rFonts w:asciiTheme="majorHAnsi" w:hAnsiTheme="majorHAnsi"/>
        </w:rPr>
        <w:t xml:space="preserve"> own QCDR, </w:t>
      </w:r>
      <w:r w:rsidR="00741CF8">
        <w:rPr>
          <w:rFonts w:asciiTheme="majorHAnsi" w:hAnsiTheme="majorHAnsi"/>
        </w:rPr>
        <w:t>other independent entities</w:t>
      </w:r>
      <w:r w:rsidR="00FB6CCD" w:rsidRPr="00FB6CCD">
        <w:rPr>
          <w:rFonts w:asciiTheme="majorHAnsi" w:hAnsiTheme="majorHAnsi"/>
        </w:rPr>
        <w:t xml:space="preserve">, such as ICLOPS, </w:t>
      </w:r>
      <w:proofErr w:type="gramStart"/>
      <w:r w:rsidR="00FB6CCD" w:rsidRPr="00FB6CCD">
        <w:rPr>
          <w:rFonts w:asciiTheme="majorHAnsi" w:hAnsiTheme="majorHAnsi"/>
        </w:rPr>
        <w:t>LLC.,</w:t>
      </w:r>
      <w:proofErr w:type="gramEnd"/>
      <w:r w:rsidR="00FB6CCD" w:rsidRPr="00FB6CCD">
        <w:rPr>
          <w:rFonts w:asciiTheme="majorHAnsi" w:hAnsiTheme="majorHAnsi"/>
        </w:rPr>
        <w:t xml:space="preserve"> offer </w:t>
      </w:r>
      <w:r w:rsidR="00741CF8">
        <w:rPr>
          <w:rFonts w:asciiTheme="majorHAnsi" w:hAnsiTheme="majorHAnsi"/>
        </w:rPr>
        <w:t>non-PQRS</w:t>
      </w:r>
      <w:r w:rsidR="00FB6CCD" w:rsidRPr="00FB6CCD">
        <w:rPr>
          <w:rFonts w:asciiTheme="majorHAnsi" w:hAnsiTheme="majorHAnsi"/>
        </w:rPr>
        <w:t xml:space="preserve"> measures</w:t>
      </w:r>
      <w:r w:rsidR="00391C9E">
        <w:rPr>
          <w:rFonts w:asciiTheme="majorHAnsi" w:hAnsiTheme="majorHAnsi"/>
        </w:rPr>
        <w:t xml:space="preserve"> that</w:t>
      </w:r>
      <w:r w:rsidR="00741CF8">
        <w:rPr>
          <w:rFonts w:asciiTheme="majorHAnsi" w:hAnsiTheme="majorHAnsi"/>
        </w:rPr>
        <w:t xml:space="preserve"> were developed with the direct input of AAHPM members and more </w:t>
      </w:r>
      <w:r w:rsidR="00741CF8" w:rsidRPr="00391C9E">
        <w:rPr>
          <w:rFonts w:asciiTheme="majorHAnsi" w:hAnsiTheme="majorHAnsi"/>
        </w:rPr>
        <w:t>directly relevant to palliative care providers</w:t>
      </w:r>
      <w:r w:rsidR="00FB6CCD" w:rsidRPr="00391C9E">
        <w:rPr>
          <w:rFonts w:asciiTheme="majorHAnsi" w:hAnsiTheme="majorHAnsi"/>
        </w:rPr>
        <w:t>.</w:t>
      </w:r>
      <w:r w:rsidR="00391C9E">
        <w:rPr>
          <w:rFonts w:asciiTheme="majorHAnsi" w:hAnsiTheme="majorHAnsi"/>
        </w:rPr>
        <w:t xml:space="preserve">  T</w:t>
      </w:r>
      <w:r w:rsidR="00391C9E" w:rsidRPr="00391C9E">
        <w:rPr>
          <w:rFonts w:asciiTheme="majorHAnsi" w:hAnsiTheme="majorHAnsi" w:cs="Calibri"/>
          <w:iCs/>
        </w:rPr>
        <w:t xml:space="preserve">he Global Palliative Care Alliance (GPCQA) is currently testing the measures in this QCDR using its QDACT system with select practices across the country. See our </w:t>
      </w:r>
      <w:hyperlink r:id="rId12" w:history="1">
        <w:r w:rsidR="00391C9E" w:rsidRPr="00DA1C03">
          <w:rPr>
            <w:rStyle w:val="Hyperlink"/>
            <w:rFonts w:asciiTheme="majorHAnsi" w:hAnsiTheme="majorHAnsi" w:cs="Calibri"/>
            <w:iCs/>
          </w:rPr>
          <w:t>Registries page</w:t>
        </w:r>
      </w:hyperlink>
      <w:bookmarkStart w:id="0" w:name="_GoBack"/>
      <w:bookmarkEnd w:id="0"/>
      <w:r w:rsidR="00391C9E" w:rsidRPr="00391C9E">
        <w:rPr>
          <w:rFonts w:asciiTheme="majorHAnsi" w:hAnsiTheme="majorHAnsi" w:cs="Calibri"/>
          <w:iCs/>
        </w:rPr>
        <w:t xml:space="preserve"> for more information on AAHPM's collaborative work with GPCQA, the Palliative Care Quality Alliance, and the </w:t>
      </w:r>
      <w:proofErr w:type="spellStart"/>
      <w:r w:rsidR="00391C9E">
        <w:rPr>
          <w:rFonts w:asciiTheme="majorHAnsi" w:hAnsiTheme="majorHAnsi" w:cs="Calibri"/>
          <w:iCs/>
        </w:rPr>
        <w:t>the</w:t>
      </w:r>
      <w:proofErr w:type="spellEnd"/>
      <w:r w:rsidR="00391C9E">
        <w:rPr>
          <w:rFonts w:asciiTheme="majorHAnsi" w:hAnsiTheme="majorHAnsi" w:cs="Calibri"/>
          <w:iCs/>
        </w:rPr>
        <w:t xml:space="preserve"> </w:t>
      </w:r>
      <w:r w:rsidR="00391C9E" w:rsidRPr="00391C9E">
        <w:rPr>
          <w:rFonts w:asciiTheme="majorHAnsi" w:hAnsiTheme="majorHAnsi" w:cs="Calibri"/>
          <w:iCs/>
        </w:rPr>
        <w:t xml:space="preserve">National Palliative Care </w:t>
      </w:r>
      <w:proofErr w:type="spellStart"/>
      <w:r w:rsidR="00391C9E" w:rsidRPr="00391C9E">
        <w:rPr>
          <w:rFonts w:asciiTheme="majorHAnsi" w:hAnsiTheme="majorHAnsi" w:cs="Calibri"/>
          <w:iCs/>
        </w:rPr>
        <w:t>Registry</w:t>
      </w:r>
      <w:r w:rsidR="00391C9E" w:rsidRPr="00391C9E">
        <w:rPr>
          <w:rFonts w:asciiTheme="majorHAnsi" w:hAnsiTheme="majorHAnsi" w:cs="Calibri"/>
          <w:iCs/>
          <w:vertAlign w:val="superscript"/>
        </w:rPr>
        <w:t>TM</w:t>
      </w:r>
      <w:proofErr w:type="spellEnd"/>
      <w:r w:rsidR="00391C9E">
        <w:rPr>
          <w:rFonts w:asciiTheme="majorHAnsi" w:hAnsiTheme="majorHAnsi" w:cs="Calibri"/>
          <w:iCs/>
        </w:rPr>
        <w:t>.</w:t>
      </w:r>
      <w:r w:rsidR="00FB6CCD">
        <w:rPr>
          <w:rFonts w:asciiTheme="majorHAnsi" w:hAnsiTheme="majorHAnsi"/>
          <w:i/>
        </w:rPr>
        <w:t xml:space="preserve"> </w:t>
      </w:r>
    </w:p>
    <w:p w14:paraId="7A0F8A94" w14:textId="555C6671" w:rsidR="00AA5525" w:rsidRPr="00F620A6" w:rsidRDefault="00DA1C03" w:rsidP="00AA5525">
      <w:pPr>
        <w:pStyle w:val="NoSpacing"/>
        <w:numPr>
          <w:ilvl w:val="0"/>
          <w:numId w:val="35"/>
        </w:numPr>
        <w:rPr>
          <w:rFonts w:asciiTheme="majorHAnsi" w:hAnsiTheme="majorHAnsi"/>
        </w:rPr>
      </w:pPr>
      <w:hyperlink r:id="rId13" w:history="1">
        <w:r w:rsidR="00AA5525" w:rsidRPr="007C4602">
          <w:rPr>
            <w:rStyle w:val="Hyperlink"/>
            <w:rFonts w:asciiTheme="majorHAnsi" w:hAnsiTheme="majorHAnsi"/>
          </w:rPr>
          <w:t>Click here</w:t>
        </w:r>
      </w:hyperlink>
      <w:r w:rsidR="00AA5525" w:rsidRPr="0050405F">
        <w:rPr>
          <w:rFonts w:asciiTheme="majorHAnsi" w:hAnsiTheme="majorHAnsi"/>
        </w:rPr>
        <w:t xml:space="preserve"> for additional information about the </w:t>
      </w:r>
      <w:r w:rsidR="00AA5525" w:rsidRPr="007C4602">
        <w:rPr>
          <w:rFonts w:asciiTheme="majorHAnsi" w:hAnsiTheme="majorHAnsi"/>
          <w:b/>
        </w:rPr>
        <w:t>EHR reporting option</w:t>
      </w:r>
      <w:r w:rsidR="00A611F4">
        <w:rPr>
          <w:rFonts w:asciiTheme="majorHAnsi" w:hAnsiTheme="majorHAnsi"/>
        </w:rPr>
        <w:t xml:space="preserve">, including a </w:t>
      </w:r>
      <w:r w:rsidR="006A0B57">
        <w:rPr>
          <w:rFonts w:asciiTheme="majorHAnsi" w:hAnsiTheme="majorHAnsi"/>
        </w:rPr>
        <w:t>guide titled, “2016</w:t>
      </w:r>
      <w:r w:rsidR="003F3657">
        <w:rPr>
          <w:rFonts w:asciiTheme="majorHAnsi" w:hAnsiTheme="majorHAnsi"/>
        </w:rPr>
        <w:t xml:space="preserve"> </w:t>
      </w:r>
      <w:r w:rsidR="00AA5525" w:rsidRPr="0050405F">
        <w:rPr>
          <w:rFonts w:asciiTheme="majorHAnsi" w:hAnsiTheme="majorHAnsi"/>
        </w:rPr>
        <w:t xml:space="preserve">PQRS EHR Reporting Made Simple.” </w:t>
      </w:r>
    </w:p>
    <w:p w14:paraId="78A71280" w14:textId="19A2E84D" w:rsidR="00AA5525" w:rsidRPr="0050405F" w:rsidRDefault="00DA1C03" w:rsidP="00AA5525">
      <w:pPr>
        <w:pStyle w:val="NoSpacing"/>
        <w:numPr>
          <w:ilvl w:val="0"/>
          <w:numId w:val="35"/>
        </w:numPr>
        <w:rPr>
          <w:rFonts w:asciiTheme="majorHAnsi" w:hAnsiTheme="majorHAnsi"/>
        </w:rPr>
      </w:pPr>
      <w:hyperlink r:id="rId14" w:history="1">
        <w:r w:rsidR="00AA5525" w:rsidRPr="00A611F4">
          <w:rPr>
            <w:rStyle w:val="Hyperlink"/>
            <w:rFonts w:asciiTheme="majorHAnsi" w:hAnsiTheme="majorHAnsi"/>
          </w:rPr>
          <w:t>Click here</w:t>
        </w:r>
      </w:hyperlink>
      <w:r w:rsidR="00AA5525" w:rsidRPr="0050405F">
        <w:rPr>
          <w:rFonts w:asciiTheme="majorHAnsi" w:hAnsiTheme="majorHAnsi"/>
        </w:rPr>
        <w:t xml:space="preserve"> for additional information about the </w:t>
      </w:r>
      <w:r w:rsidR="00AA5525" w:rsidRPr="00A611F4">
        <w:rPr>
          <w:rFonts w:asciiTheme="majorHAnsi" w:hAnsiTheme="majorHAnsi"/>
          <w:b/>
        </w:rPr>
        <w:t>GPRO</w:t>
      </w:r>
      <w:r w:rsidR="00AA5525" w:rsidRPr="0050405F">
        <w:rPr>
          <w:rFonts w:asciiTheme="majorHAnsi" w:hAnsiTheme="majorHAnsi"/>
        </w:rPr>
        <w:t xml:space="preserve">, including </w:t>
      </w:r>
      <w:r w:rsidR="00A611F4">
        <w:rPr>
          <w:rFonts w:asciiTheme="majorHAnsi" w:hAnsiTheme="majorHAnsi"/>
        </w:rPr>
        <w:t>instructions for larger group practices wishing to use the Web Interface.</w:t>
      </w:r>
    </w:p>
    <w:p w14:paraId="7BB78EA1" w14:textId="77777777" w:rsidR="00AA5525" w:rsidRPr="0050405F" w:rsidRDefault="00AA5525" w:rsidP="00AA5525">
      <w:pPr>
        <w:pStyle w:val="NoSpacing"/>
        <w:rPr>
          <w:rFonts w:asciiTheme="majorHAnsi" w:hAnsiTheme="majorHAnsi"/>
        </w:rPr>
      </w:pPr>
    </w:p>
    <w:p w14:paraId="4013F213" w14:textId="06030D98" w:rsidR="001A38CE" w:rsidRPr="0050405F" w:rsidRDefault="001A38CE" w:rsidP="00AA5525">
      <w:pPr>
        <w:pStyle w:val="NoSpacing"/>
        <w:rPr>
          <w:rFonts w:asciiTheme="majorHAnsi" w:hAnsiTheme="majorHAnsi"/>
        </w:rPr>
      </w:pPr>
      <w:r w:rsidRPr="0050405F">
        <w:rPr>
          <w:rFonts w:asciiTheme="majorHAnsi" w:hAnsiTheme="majorHAnsi"/>
        </w:rPr>
        <w:t xml:space="preserve">When selecting a reporting </w:t>
      </w:r>
      <w:r w:rsidR="00813576" w:rsidRPr="0050405F">
        <w:rPr>
          <w:rFonts w:asciiTheme="majorHAnsi" w:hAnsiTheme="majorHAnsi"/>
        </w:rPr>
        <w:t xml:space="preserve">method, make sure to </w:t>
      </w:r>
      <w:r w:rsidRPr="0050405F">
        <w:rPr>
          <w:rFonts w:asciiTheme="majorHAnsi" w:hAnsiTheme="majorHAnsi"/>
        </w:rPr>
        <w:t xml:space="preserve">consider </w:t>
      </w:r>
      <w:r w:rsidR="00813576" w:rsidRPr="0050405F">
        <w:rPr>
          <w:rFonts w:asciiTheme="majorHAnsi" w:hAnsiTheme="majorHAnsi"/>
        </w:rPr>
        <w:t>whether there are a sufficient number of</w:t>
      </w:r>
      <w:r w:rsidRPr="0050405F">
        <w:rPr>
          <w:rFonts w:asciiTheme="majorHAnsi" w:hAnsiTheme="majorHAnsi"/>
        </w:rPr>
        <w:t xml:space="preserve"> measures </w:t>
      </w:r>
      <w:r w:rsidR="00813576" w:rsidRPr="0050405F">
        <w:rPr>
          <w:rFonts w:asciiTheme="majorHAnsi" w:hAnsiTheme="majorHAnsi"/>
        </w:rPr>
        <w:t xml:space="preserve">applicable to your practice that are available </w:t>
      </w:r>
      <w:r w:rsidR="009650F3">
        <w:rPr>
          <w:rFonts w:asciiTheme="majorHAnsi" w:hAnsiTheme="majorHAnsi"/>
        </w:rPr>
        <w:t xml:space="preserve">under </w:t>
      </w:r>
      <w:r w:rsidR="00813576" w:rsidRPr="0050405F">
        <w:rPr>
          <w:rFonts w:asciiTheme="majorHAnsi" w:hAnsiTheme="majorHAnsi"/>
        </w:rPr>
        <w:t xml:space="preserve">that reporting method.  </w:t>
      </w:r>
    </w:p>
    <w:p w14:paraId="4C6C745D" w14:textId="77777777" w:rsidR="001A38CE" w:rsidRPr="0050405F" w:rsidRDefault="001A38CE" w:rsidP="00AA5525">
      <w:pPr>
        <w:pStyle w:val="NoSpacing"/>
        <w:rPr>
          <w:rFonts w:asciiTheme="majorHAnsi" w:hAnsiTheme="majorHAnsi"/>
        </w:rPr>
      </w:pPr>
    </w:p>
    <w:p w14:paraId="78795BA2" w14:textId="77777777" w:rsidR="00FB6CCD" w:rsidRDefault="00AA5525" w:rsidP="00FB6CCD">
      <w:pPr>
        <w:widowControl w:val="0"/>
        <w:autoSpaceDE w:val="0"/>
        <w:autoSpaceDN w:val="0"/>
        <w:adjustRightInd w:val="0"/>
        <w:spacing w:line="240" w:lineRule="auto"/>
        <w:rPr>
          <w:rFonts w:asciiTheme="majorHAnsi" w:hAnsiTheme="majorHAnsi" w:cs="Arial"/>
          <w:b/>
          <w:color w:val="313431"/>
        </w:rPr>
      </w:pPr>
      <w:r w:rsidRPr="0050405F">
        <w:rPr>
          <w:rFonts w:asciiTheme="majorHAnsi" w:hAnsiTheme="majorHAnsi" w:cs="Arial"/>
          <w:b/>
          <w:color w:val="313431"/>
        </w:rPr>
        <w:t xml:space="preserve">3. </w:t>
      </w:r>
      <w:r w:rsidR="0042134D" w:rsidRPr="0050405F">
        <w:rPr>
          <w:rFonts w:asciiTheme="majorHAnsi" w:hAnsiTheme="majorHAnsi" w:cs="Arial"/>
          <w:b/>
          <w:color w:val="313431"/>
        </w:rPr>
        <w:t>Select your measures</w:t>
      </w:r>
    </w:p>
    <w:p w14:paraId="6A258BB8" w14:textId="77288AA4" w:rsidR="00BE204A" w:rsidRPr="00FB6CCD" w:rsidRDefault="00FB6CCD" w:rsidP="00FB6CCD">
      <w:pPr>
        <w:widowControl w:val="0"/>
        <w:autoSpaceDE w:val="0"/>
        <w:autoSpaceDN w:val="0"/>
        <w:adjustRightInd w:val="0"/>
        <w:spacing w:line="240" w:lineRule="auto"/>
        <w:rPr>
          <w:rFonts w:asciiTheme="majorHAnsi" w:hAnsiTheme="majorHAnsi" w:cs="Times New Roman"/>
        </w:rPr>
      </w:pPr>
      <w:r w:rsidRPr="00FB6CCD">
        <w:rPr>
          <w:rFonts w:asciiTheme="majorHAnsi" w:hAnsiTheme="majorHAnsi" w:cs="Times New Roman"/>
        </w:rPr>
        <w:t xml:space="preserve">The challenge for </w:t>
      </w:r>
      <w:r>
        <w:rPr>
          <w:rFonts w:asciiTheme="majorHAnsi" w:hAnsiTheme="majorHAnsi" w:cs="Times New Roman"/>
        </w:rPr>
        <w:t>AAHPM members</w:t>
      </w:r>
      <w:r w:rsidRPr="00FB6CCD">
        <w:rPr>
          <w:rFonts w:asciiTheme="majorHAnsi" w:hAnsiTheme="majorHAnsi" w:cs="Times New Roman"/>
        </w:rPr>
        <w:t xml:space="preserve"> is choosing</w:t>
      </w:r>
      <w:r>
        <w:rPr>
          <w:rFonts w:asciiTheme="majorHAnsi" w:hAnsiTheme="majorHAnsi" w:cs="Arial"/>
          <w:b/>
          <w:color w:val="313431"/>
        </w:rPr>
        <w:t xml:space="preserve"> </w:t>
      </w:r>
      <w:r w:rsidRPr="00FB6CCD">
        <w:rPr>
          <w:rFonts w:asciiTheme="majorHAnsi" w:hAnsiTheme="majorHAnsi" w:cs="Times New Roman"/>
        </w:rPr>
        <w:t>which PQR</w:t>
      </w:r>
      <w:r>
        <w:rPr>
          <w:rFonts w:asciiTheme="majorHAnsi" w:hAnsiTheme="majorHAnsi" w:cs="Times New Roman"/>
        </w:rPr>
        <w:t xml:space="preserve">S measures to report because, at this time, </w:t>
      </w:r>
      <w:r w:rsidRPr="00FB6CCD">
        <w:rPr>
          <w:rFonts w:asciiTheme="majorHAnsi" w:hAnsiTheme="majorHAnsi" w:cs="Times New Roman"/>
        </w:rPr>
        <w:t xml:space="preserve">there are </w:t>
      </w:r>
      <w:r>
        <w:rPr>
          <w:rFonts w:asciiTheme="majorHAnsi" w:hAnsiTheme="majorHAnsi" w:cs="Times New Roman"/>
        </w:rPr>
        <w:t xml:space="preserve">still no </w:t>
      </w:r>
      <w:r w:rsidRPr="00FB6CCD">
        <w:rPr>
          <w:rFonts w:asciiTheme="majorHAnsi" w:hAnsiTheme="majorHAnsi" w:cs="Times New Roman"/>
        </w:rPr>
        <w:t xml:space="preserve">PQRS measures designed </w:t>
      </w:r>
      <w:r>
        <w:rPr>
          <w:rFonts w:asciiTheme="majorHAnsi" w:hAnsiTheme="majorHAnsi" w:cs="Times New Roman"/>
        </w:rPr>
        <w:t>specifically for hospice or palliative care providers</w:t>
      </w:r>
      <w:r w:rsidRPr="00FB6CCD">
        <w:rPr>
          <w:rFonts w:asciiTheme="majorHAnsi" w:hAnsiTheme="majorHAnsi" w:cs="Times New Roman"/>
        </w:rPr>
        <w:t>.</w:t>
      </w:r>
      <w:r w:rsidRPr="00FB6CCD">
        <w:rPr>
          <w:rFonts w:asciiTheme="majorHAnsi" w:hAnsiTheme="majorHAnsi" w:cs="Arial"/>
          <w:color w:val="000000" w:themeColor="text1"/>
        </w:rPr>
        <w:t xml:space="preserve"> </w:t>
      </w:r>
      <w:r w:rsidR="00100C83" w:rsidRPr="00FB6CCD">
        <w:rPr>
          <w:rFonts w:asciiTheme="majorHAnsi" w:hAnsiTheme="majorHAnsi" w:cs="Arial"/>
          <w:color w:val="000000" w:themeColor="text1"/>
        </w:rPr>
        <w:lastRenderedPageBreak/>
        <w:t>The table</w:t>
      </w:r>
      <w:r w:rsidR="00100C83" w:rsidRPr="006F2D4D">
        <w:rPr>
          <w:rFonts w:asciiTheme="majorHAnsi" w:hAnsiTheme="majorHAnsi" w:cs="Arial"/>
          <w:color w:val="000000" w:themeColor="text1"/>
        </w:rPr>
        <w:t xml:space="preserve"> below lists </w:t>
      </w:r>
      <w:r w:rsidR="004C0414" w:rsidRPr="006F2D4D">
        <w:rPr>
          <w:rFonts w:asciiTheme="majorHAnsi" w:hAnsiTheme="majorHAnsi" w:cs="Arial"/>
          <w:color w:val="000000" w:themeColor="text1"/>
        </w:rPr>
        <w:t xml:space="preserve">individual </w:t>
      </w:r>
      <w:r w:rsidR="006F2D4D" w:rsidRPr="006F2D4D">
        <w:rPr>
          <w:rFonts w:asciiTheme="majorHAnsi" w:hAnsiTheme="majorHAnsi" w:cs="Arial"/>
          <w:color w:val="000000" w:themeColor="text1"/>
        </w:rPr>
        <w:t>2016</w:t>
      </w:r>
      <w:r w:rsidR="00813576" w:rsidRPr="006F2D4D">
        <w:rPr>
          <w:rFonts w:asciiTheme="majorHAnsi" w:hAnsiTheme="majorHAnsi" w:cs="Arial"/>
          <w:color w:val="000000" w:themeColor="text1"/>
        </w:rPr>
        <w:t xml:space="preserve"> PQRS </w:t>
      </w:r>
      <w:r w:rsidR="00100C83" w:rsidRPr="006F2D4D">
        <w:rPr>
          <w:rFonts w:asciiTheme="majorHAnsi" w:hAnsiTheme="majorHAnsi" w:cs="Arial"/>
          <w:color w:val="000000" w:themeColor="text1"/>
        </w:rPr>
        <w:t xml:space="preserve">measures that may be </w:t>
      </w:r>
      <w:r w:rsidR="00813576" w:rsidRPr="006F2D4D">
        <w:rPr>
          <w:rFonts w:asciiTheme="majorHAnsi" w:hAnsiTheme="majorHAnsi" w:cs="Arial"/>
          <w:color w:val="000000" w:themeColor="text1"/>
        </w:rPr>
        <w:t>relevant to your patient population</w:t>
      </w:r>
      <w:r w:rsidR="00100C83" w:rsidRPr="006F2D4D">
        <w:rPr>
          <w:rFonts w:asciiTheme="majorHAnsi" w:hAnsiTheme="majorHAnsi" w:cs="Arial"/>
          <w:color w:val="000000" w:themeColor="text1"/>
        </w:rPr>
        <w:t xml:space="preserve">. </w:t>
      </w:r>
      <w:r>
        <w:rPr>
          <w:rFonts w:asciiTheme="majorHAnsi" w:hAnsiTheme="majorHAnsi" w:cs="Arial"/>
          <w:color w:val="000000" w:themeColor="text1"/>
        </w:rPr>
        <w:t xml:space="preserve"> You</w:t>
      </w:r>
      <w:r w:rsidR="00813576" w:rsidRPr="006F2D4D">
        <w:rPr>
          <w:rFonts w:asciiTheme="majorHAnsi" w:hAnsiTheme="majorHAnsi" w:cs="Arial"/>
          <w:color w:val="000000" w:themeColor="text1"/>
        </w:rPr>
        <w:t xml:space="preserve"> are encouraged</w:t>
      </w:r>
      <w:r w:rsidR="001A38CE" w:rsidRPr="006F2D4D">
        <w:rPr>
          <w:rFonts w:asciiTheme="majorHAnsi" w:hAnsiTheme="majorHAnsi" w:cs="Arial"/>
          <w:color w:val="000000" w:themeColor="text1"/>
        </w:rPr>
        <w:t xml:space="preserve"> to</w:t>
      </w:r>
      <w:r w:rsidR="00100C83" w:rsidRPr="006F2D4D">
        <w:rPr>
          <w:rFonts w:asciiTheme="majorHAnsi" w:hAnsiTheme="majorHAnsi" w:cs="Arial"/>
          <w:color w:val="000000" w:themeColor="text1"/>
        </w:rPr>
        <w:t xml:space="preserve"> review the </w:t>
      </w:r>
      <w:r w:rsidR="009650F3" w:rsidRPr="006F2D4D">
        <w:rPr>
          <w:rFonts w:asciiTheme="majorHAnsi" w:hAnsiTheme="majorHAnsi" w:cs="Arial"/>
          <w:color w:val="000000" w:themeColor="text1"/>
        </w:rPr>
        <w:t>complete</w:t>
      </w:r>
      <w:r w:rsidR="008A622F">
        <w:rPr>
          <w:rFonts w:asciiTheme="majorHAnsi" w:hAnsiTheme="majorHAnsi" w:cs="Arial"/>
          <w:color w:val="000000" w:themeColor="text1"/>
        </w:rPr>
        <w:t xml:space="preserve"> list of individual measures, measures groups, and cross-cutting measures available for 2016.  All of these lists, including more detailed specifications, can be downloaded </w:t>
      </w:r>
      <w:hyperlink r:id="rId15" w:history="1">
        <w:r w:rsidR="008A622F" w:rsidRPr="008A622F">
          <w:rPr>
            <w:rStyle w:val="Hyperlink"/>
            <w:rFonts w:asciiTheme="majorHAnsi" w:hAnsiTheme="majorHAnsi" w:cs="Arial"/>
          </w:rPr>
          <w:t>here</w:t>
        </w:r>
      </w:hyperlink>
      <w:r w:rsidR="008A622F">
        <w:rPr>
          <w:rFonts w:asciiTheme="majorHAnsi" w:hAnsiTheme="majorHAnsi" w:cs="Arial"/>
          <w:color w:val="000000" w:themeColor="text1"/>
        </w:rPr>
        <w:t xml:space="preserve">.  </w:t>
      </w:r>
      <w:r w:rsidR="00D9416A" w:rsidRPr="006F2D4D">
        <w:rPr>
          <w:rFonts w:asciiTheme="majorHAnsi" w:hAnsiTheme="majorHAnsi" w:cs="Arial"/>
          <w:color w:val="000000" w:themeColor="text1"/>
        </w:rPr>
        <w:t xml:space="preserve">Once you identify measures that are potentially relevant to your practice, you will want to </w:t>
      </w:r>
      <w:r w:rsidR="00BE204A" w:rsidRPr="006F2D4D">
        <w:rPr>
          <w:rFonts w:asciiTheme="majorHAnsi" w:hAnsiTheme="majorHAnsi" w:cs="Arial"/>
          <w:color w:val="000000" w:themeColor="text1"/>
        </w:rPr>
        <w:t>closely examine the measure specifications</w:t>
      </w:r>
      <w:r w:rsidR="008A622F">
        <w:rPr>
          <w:rFonts w:asciiTheme="majorHAnsi" w:hAnsiTheme="majorHAnsi" w:cs="Arial"/>
          <w:color w:val="000000" w:themeColor="text1"/>
        </w:rPr>
        <w:t xml:space="preserve">, including the </w:t>
      </w:r>
      <w:r w:rsidR="008A622F" w:rsidRPr="006F2D4D">
        <w:rPr>
          <w:rFonts w:asciiTheme="majorHAnsi" w:hAnsiTheme="majorHAnsi" w:cs="Arial"/>
          <w:color w:val="000000" w:themeColor="text1"/>
        </w:rPr>
        <w:t>numerator, denominator and any applicable exclusion</w:t>
      </w:r>
      <w:r w:rsidR="008A622F">
        <w:rPr>
          <w:rFonts w:asciiTheme="majorHAnsi" w:hAnsiTheme="majorHAnsi" w:cs="Arial"/>
          <w:color w:val="000000" w:themeColor="text1"/>
        </w:rPr>
        <w:t>s</w:t>
      </w:r>
      <w:r w:rsidR="00BE204A" w:rsidRPr="006F2D4D">
        <w:rPr>
          <w:rFonts w:asciiTheme="majorHAnsi" w:hAnsiTheme="majorHAnsi" w:cs="Arial"/>
          <w:color w:val="000000" w:themeColor="text1"/>
        </w:rPr>
        <w:t xml:space="preserve">.  </w:t>
      </w:r>
      <w:r w:rsidR="00C64870" w:rsidRPr="006F2D4D">
        <w:rPr>
          <w:rFonts w:asciiTheme="majorHAnsi" w:hAnsiTheme="majorHAnsi" w:cs="Arial"/>
          <w:color w:val="000000" w:themeColor="text1"/>
        </w:rPr>
        <w:t xml:space="preserve">Please also take note of available reporting </w:t>
      </w:r>
      <w:r w:rsidR="008A622F">
        <w:rPr>
          <w:rFonts w:asciiTheme="majorHAnsi" w:hAnsiTheme="majorHAnsi" w:cs="Arial"/>
          <w:color w:val="000000" w:themeColor="text1"/>
        </w:rPr>
        <w:t>mechanisms</w:t>
      </w:r>
      <w:r w:rsidR="00C64870" w:rsidRPr="006F2D4D">
        <w:rPr>
          <w:rFonts w:asciiTheme="majorHAnsi" w:hAnsiTheme="majorHAnsi" w:cs="Arial"/>
          <w:color w:val="000000" w:themeColor="text1"/>
        </w:rPr>
        <w:t xml:space="preserve"> for each measure since some are only </w:t>
      </w:r>
      <w:r w:rsidR="008A622F">
        <w:rPr>
          <w:rFonts w:asciiTheme="majorHAnsi" w:hAnsiTheme="majorHAnsi" w:cs="Arial"/>
          <w:color w:val="000000" w:themeColor="text1"/>
        </w:rPr>
        <w:t>available for reporting</w:t>
      </w:r>
      <w:r w:rsidR="00C64870" w:rsidRPr="006F2D4D">
        <w:rPr>
          <w:rFonts w:asciiTheme="majorHAnsi" w:hAnsiTheme="majorHAnsi" w:cs="Arial"/>
          <w:color w:val="000000" w:themeColor="text1"/>
        </w:rPr>
        <w:t xml:space="preserve"> via </w:t>
      </w:r>
      <w:r w:rsidR="008A622F">
        <w:rPr>
          <w:rFonts w:asciiTheme="majorHAnsi" w:hAnsiTheme="majorHAnsi" w:cs="Arial"/>
          <w:color w:val="000000" w:themeColor="text1"/>
        </w:rPr>
        <w:t>a single mechanism.</w:t>
      </w:r>
      <w:r w:rsidR="00C64870" w:rsidRPr="006F2D4D">
        <w:rPr>
          <w:rFonts w:asciiTheme="majorHAnsi" w:hAnsiTheme="majorHAnsi" w:cs="Arial"/>
          <w:color w:val="000000" w:themeColor="text1"/>
        </w:rPr>
        <w:t xml:space="preserve"> </w:t>
      </w:r>
    </w:p>
    <w:p w14:paraId="1BB68F23" w14:textId="631881E3" w:rsidR="004C0414" w:rsidRPr="0050405F" w:rsidRDefault="00813576" w:rsidP="00AA5525">
      <w:pPr>
        <w:widowControl w:val="0"/>
        <w:autoSpaceDE w:val="0"/>
        <w:autoSpaceDN w:val="0"/>
        <w:adjustRightInd w:val="0"/>
        <w:spacing w:line="240" w:lineRule="auto"/>
        <w:rPr>
          <w:rFonts w:asciiTheme="majorHAnsi" w:hAnsiTheme="majorHAnsi" w:cs="Arial"/>
          <w:color w:val="313431"/>
        </w:rPr>
      </w:pPr>
      <w:r w:rsidRPr="0050405F">
        <w:rPr>
          <w:rFonts w:asciiTheme="majorHAnsi" w:hAnsiTheme="majorHAnsi" w:cs="Arial"/>
          <w:color w:val="313431"/>
        </w:rPr>
        <w:t xml:space="preserve">While there are </w:t>
      </w:r>
      <w:r w:rsidR="00FB6CCD">
        <w:rPr>
          <w:rFonts w:asciiTheme="majorHAnsi" w:hAnsiTheme="majorHAnsi" w:cs="Arial"/>
          <w:color w:val="313431"/>
        </w:rPr>
        <w:t xml:space="preserve">also </w:t>
      </w:r>
      <w:r w:rsidR="004C0414" w:rsidRPr="0050405F">
        <w:rPr>
          <w:rFonts w:asciiTheme="majorHAnsi" w:hAnsiTheme="majorHAnsi" w:cs="Arial"/>
          <w:color w:val="313431"/>
        </w:rPr>
        <w:t xml:space="preserve">currently </w:t>
      </w:r>
      <w:r w:rsidRPr="0050405F">
        <w:rPr>
          <w:rFonts w:asciiTheme="majorHAnsi" w:hAnsiTheme="majorHAnsi" w:cs="Arial"/>
          <w:color w:val="313431"/>
        </w:rPr>
        <w:t xml:space="preserve">no </w:t>
      </w:r>
      <w:r w:rsidR="004C0414" w:rsidRPr="0050405F">
        <w:rPr>
          <w:rFonts w:asciiTheme="majorHAnsi" w:hAnsiTheme="majorHAnsi" w:cs="Arial"/>
          <w:color w:val="313431"/>
        </w:rPr>
        <w:t xml:space="preserve">PQRS </w:t>
      </w:r>
      <w:r w:rsidRPr="0050405F">
        <w:rPr>
          <w:rFonts w:asciiTheme="majorHAnsi" w:hAnsiTheme="majorHAnsi" w:cs="Arial"/>
          <w:color w:val="313431"/>
        </w:rPr>
        <w:t>measures groups that are</w:t>
      </w:r>
      <w:r w:rsidR="004C0414" w:rsidRPr="0050405F">
        <w:rPr>
          <w:rFonts w:asciiTheme="majorHAnsi" w:hAnsiTheme="majorHAnsi" w:cs="Arial"/>
          <w:color w:val="313431"/>
        </w:rPr>
        <w:t>,</w:t>
      </w:r>
      <w:r w:rsidRPr="0050405F">
        <w:rPr>
          <w:rFonts w:asciiTheme="majorHAnsi" w:hAnsiTheme="majorHAnsi" w:cs="Arial"/>
          <w:color w:val="313431"/>
        </w:rPr>
        <w:t xml:space="preserve"> </w:t>
      </w:r>
      <w:r w:rsidR="004C0414" w:rsidRPr="0050405F">
        <w:rPr>
          <w:rFonts w:asciiTheme="majorHAnsi" w:hAnsiTheme="majorHAnsi" w:cs="Arial"/>
          <w:color w:val="313431"/>
        </w:rPr>
        <w:t xml:space="preserve">in their entirety, </w:t>
      </w:r>
      <w:r w:rsidRPr="0050405F">
        <w:rPr>
          <w:rFonts w:asciiTheme="majorHAnsi" w:hAnsiTheme="majorHAnsi" w:cs="Arial"/>
          <w:color w:val="313431"/>
        </w:rPr>
        <w:t>directly relevant to ho</w:t>
      </w:r>
      <w:r w:rsidR="004C0414" w:rsidRPr="0050405F">
        <w:rPr>
          <w:rFonts w:asciiTheme="majorHAnsi" w:hAnsiTheme="majorHAnsi" w:cs="Arial"/>
          <w:color w:val="313431"/>
        </w:rPr>
        <w:t>spice/pal</w:t>
      </w:r>
      <w:r w:rsidR="00FB6CCD">
        <w:rPr>
          <w:rFonts w:asciiTheme="majorHAnsi" w:hAnsiTheme="majorHAnsi" w:cs="Arial"/>
          <w:color w:val="313431"/>
        </w:rPr>
        <w:t xml:space="preserve">liative care providers, </w:t>
      </w:r>
      <w:r w:rsidR="004C0414" w:rsidRPr="0050405F">
        <w:rPr>
          <w:rFonts w:asciiTheme="majorHAnsi" w:hAnsiTheme="majorHAnsi" w:cs="Arial"/>
          <w:color w:val="313431"/>
        </w:rPr>
        <w:t xml:space="preserve">those who practice </w:t>
      </w:r>
      <w:r w:rsidR="00FB6CCD">
        <w:rPr>
          <w:rFonts w:asciiTheme="majorHAnsi" w:hAnsiTheme="majorHAnsi" w:cs="Arial"/>
          <w:color w:val="313431"/>
        </w:rPr>
        <w:t>under another primary specialty may be able to identify an applicable measures group.</w:t>
      </w:r>
      <w:r w:rsidR="004C0414" w:rsidRPr="0050405F">
        <w:rPr>
          <w:rFonts w:asciiTheme="majorHAnsi" w:hAnsiTheme="majorHAnsi" w:cs="Arial"/>
          <w:color w:val="313431"/>
        </w:rPr>
        <w:t xml:space="preserve">  Please keep in mind that measures groups can only be reported via qualified registry and must b</w:t>
      </w:r>
      <w:r w:rsidR="00BE204A">
        <w:rPr>
          <w:rFonts w:asciiTheme="majorHAnsi" w:hAnsiTheme="majorHAnsi" w:cs="Arial"/>
          <w:color w:val="313431"/>
        </w:rPr>
        <w:t xml:space="preserve">e reported as an </w:t>
      </w:r>
      <w:r w:rsidR="00D9416A">
        <w:rPr>
          <w:rFonts w:asciiTheme="majorHAnsi" w:hAnsiTheme="majorHAnsi" w:cs="Arial"/>
          <w:color w:val="313431"/>
        </w:rPr>
        <w:t xml:space="preserve">entire </w:t>
      </w:r>
      <w:r w:rsidR="004C0414" w:rsidRPr="0050405F">
        <w:rPr>
          <w:rFonts w:asciiTheme="majorHAnsi" w:hAnsiTheme="majorHAnsi" w:cs="Arial"/>
          <w:color w:val="313431"/>
        </w:rPr>
        <w:t>set.</w:t>
      </w:r>
    </w:p>
    <w:p w14:paraId="1F200F75" w14:textId="55C476E1" w:rsidR="004C0414" w:rsidRPr="0050405F" w:rsidRDefault="008A622F" w:rsidP="00C24F52">
      <w:pPr>
        <w:pStyle w:val="Heading3"/>
        <w:jc w:val="center"/>
        <w:rPr>
          <w:rFonts w:asciiTheme="majorHAnsi" w:hAnsiTheme="majorHAnsi"/>
        </w:rPr>
      </w:pPr>
      <w:r>
        <w:rPr>
          <w:rFonts w:asciiTheme="majorHAnsi" w:hAnsiTheme="majorHAnsi"/>
        </w:rPr>
        <w:t>2016</w:t>
      </w:r>
      <w:r w:rsidR="001D50F6" w:rsidRPr="0050405F">
        <w:rPr>
          <w:rFonts w:asciiTheme="majorHAnsi" w:hAnsiTheme="majorHAnsi"/>
        </w:rPr>
        <w:t xml:space="preserve"> </w:t>
      </w:r>
      <w:r w:rsidR="004C0414" w:rsidRPr="0050405F">
        <w:rPr>
          <w:rFonts w:asciiTheme="majorHAnsi" w:hAnsiTheme="majorHAnsi"/>
        </w:rPr>
        <w:t xml:space="preserve">PQRS Measures Potentially Relevant to </w:t>
      </w:r>
      <w:r w:rsidR="00C24F52">
        <w:rPr>
          <w:rFonts w:asciiTheme="majorHAnsi" w:hAnsiTheme="majorHAnsi"/>
        </w:rPr>
        <w:t xml:space="preserve">                                                                      </w:t>
      </w:r>
      <w:r w:rsidR="004C0414" w:rsidRPr="0050405F">
        <w:rPr>
          <w:rFonts w:asciiTheme="majorHAnsi" w:hAnsiTheme="majorHAnsi"/>
        </w:rPr>
        <w:t>Hospice and/or Palliative Care</w:t>
      </w:r>
      <w:r w:rsidR="005A3DF8">
        <w:rPr>
          <w:rFonts w:asciiTheme="majorHAnsi" w:hAnsiTheme="majorHAnsi"/>
        </w:rPr>
        <w:t xml:space="preserve"> Providers</w:t>
      </w:r>
    </w:p>
    <w:tbl>
      <w:tblPr>
        <w:tblStyle w:val="TableGrid"/>
        <w:tblW w:w="0" w:type="auto"/>
        <w:tblLook w:val="04A0" w:firstRow="1" w:lastRow="0" w:firstColumn="1" w:lastColumn="0" w:noHBand="0" w:noVBand="1"/>
      </w:tblPr>
      <w:tblGrid>
        <w:gridCol w:w="713"/>
        <w:gridCol w:w="2562"/>
        <w:gridCol w:w="3042"/>
        <w:gridCol w:w="1593"/>
        <w:gridCol w:w="1440"/>
      </w:tblGrid>
      <w:tr w:rsidR="00100C83" w:rsidRPr="0050405F" w14:paraId="14CEE454" w14:textId="77777777" w:rsidTr="002C6E84">
        <w:tc>
          <w:tcPr>
            <w:tcW w:w="713" w:type="dxa"/>
            <w:tcBorders>
              <w:bottom w:val="double" w:sz="4" w:space="0" w:color="auto"/>
            </w:tcBorders>
            <w:vAlign w:val="center"/>
          </w:tcPr>
          <w:p w14:paraId="0E4F8358" w14:textId="6EA45A5D" w:rsidR="0068116A" w:rsidRPr="0050405F" w:rsidRDefault="0068116A" w:rsidP="001D50F6">
            <w:pPr>
              <w:widowControl w:val="0"/>
              <w:autoSpaceDE w:val="0"/>
              <w:autoSpaceDN w:val="0"/>
              <w:adjustRightInd w:val="0"/>
              <w:jc w:val="center"/>
              <w:rPr>
                <w:rFonts w:asciiTheme="majorHAnsi" w:hAnsiTheme="majorHAnsi" w:cs="Arial"/>
                <w:b/>
                <w:color w:val="313431"/>
                <w:sz w:val="20"/>
                <w:szCs w:val="20"/>
              </w:rPr>
            </w:pPr>
            <w:r w:rsidRPr="0050405F">
              <w:rPr>
                <w:rFonts w:asciiTheme="majorHAnsi" w:hAnsiTheme="majorHAnsi" w:cs="Arial"/>
                <w:b/>
                <w:color w:val="313431"/>
                <w:sz w:val="20"/>
                <w:szCs w:val="20"/>
              </w:rPr>
              <w:t>PQRS #</w:t>
            </w:r>
          </w:p>
        </w:tc>
        <w:tc>
          <w:tcPr>
            <w:tcW w:w="2562" w:type="dxa"/>
            <w:tcBorders>
              <w:bottom w:val="double" w:sz="4" w:space="0" w:color="auto"/>
            </w:tcBorders>
            <w:vAlign w:val="center"/>
          </w:tcPr>
          <w:p w14:paraId="1B6E889C" w14:textId="4DD2C597" w:rsidR="0068116A" w:rsidRPr="0050405F" w:rsidRDefault="0068116A" w:rsidP="001D50F6">
            <w:pPr>
              <w:widowControl w:val="0"/>
              <w:autoSpaceDE w:val="0"/>
              <w:autoSpaceDN w:val="0"/>
              <w:adjustRightInd w:val="0"/>
              <w:jc w:val="center"/>
              <w:rPr>
                <w:rFonts w:asciiTheme="majorHAnsi" w:hAnsiTheme="majorHAnsi" w:cs="Arial"/>
                <w:b/>
                <w:color w:val="313431"/>
                <w:sz w:val="20"/>
                <w:szCs w:val="20"/>
              </w:rPr>
            </w:pPr>
            <w:r w:rsidRPr="0050405F">
              <w:rPr>
                <w:rFonts w:asciiTheme="majorHAnsi" w:hAnsiTheme="majorHAnsi" w:cs="Arial"/>
                <w:b/>
                <w:color w:val="313431"/>
                <w:sz w:val="20"/>
                <w:szCs w:val="20"/>
              </w:rPr>
              <w:t>Measure Title</w:t>
            </w:r>
          </w:p>
        </w:tc>
        <w:tc>
          <w:tcPr>
            <w:tcW w:w="3239" w:type="dxa"/>
            <w:tcBorders>
              <w:bottom w:val="double" w:sz="4" w:space="0" w:color="auto"/>
            </w:tcBorders>
            <w:vAlign w:val="center"/>
          </w:tcPr>
          <w:p w14:paraId="7A7B80A4" w14:textId="29F30853" w:rsidR="0068116A" w:rsidRPr="0050405F" w:rsidRDefault="0068116A" w:rsidP="001D50F6">
            <w:pPr>
              <w:widowControl w:val="0"/>
              <w:autoSpaceDE w:val="0"/>
              <w:autoSpaceDN w:val="0"/>
              <w:adjustRightInd w:val="0"/>
              <w:jc w:val="center"/>
              <w:rPr>
                <w:rFonts w:asciiTheme="majorHAnsi" w:hAnsiTheme="majorHAnsi" w:cs="Arial"/>
                <w:b/>
                <w:color w:val="313431"/>
                <w:sz w:val="20"/>
                <w:szCs w:val="20"/>
              </w:rPr>
            </w:pPr>
            <w:r w:rsidRPr="0050405F">
              <w:rPr>
                <w:rFonts w:asciiTheme="majorHAnsi" w:hAnsiTheme="majorHAnsi" w:cs="Arial"/>
                <w:b/>
                <w:color w:val="313431"/>
                <w:sz w:val="20"/>
                <w:szCs w:val="20"/>
              </w:rPr>
              <w:t>Measure Description</w:t>
            </w:r>
          </w:p>
        </w:tc>
        <w:tc>
          <w:tcPr>
            <w:tcW w:w="1599" w:type="dxa"/>
            <w:tcBorders>
              <w:bottom w:val="double" w:sz="4" w:space="0" w:color="auto"/>
            </w:tcBorders>
            <w:vAlign w:val="center"/>
          </w:tcPr>
          <w:p w14:paraId="6F0307B7" w14:textId="4E2AB1FE" w:rsidR="0068116A" w:rsidRPr="0050405F" w:rsidRDefault="0068116A" w:rsidP="001D50F6">
            <w:pPr>
              <w:widowControl w:val="0"/>
              <w:autoSpaceDE w:val="0"/>
              <w:autoSpaceDN w:val="0"/>
              <w:adjustRightInd w:val="0"/>
              <w:jc w:val="center"/>
              <w:rPr>
                <w:rFonts w:asciiTheme="majorHAnsi" w:hAnsiTheme="majorHAnsi" w:cs="Arial"/>
                <w:b/>
                <w:color w:val="313431"/>
                <w:sz w:val="20"/>
                <w:szCs w:val="20"/>
              </w:rPr>
            </w:pPr>
            <w:r w:rsidRPr="0050405F">
              <w:rPr>
                <w:rFonts w:asciiTheme="majorHAnsi" w:hAnsiTheme="majorHAnsi" w:cs="Arial"/>
                <w:b/>
                <w:color w:val="313431"/>
                <w:sz w:val="20"/>
                <w:szCs w:val="20"/>
              </w:rPr>
              <w:t>National Quality Strategy Domain</w:t>
            </w:r>
          </w:p>
        </w:tc>
        <w:tc>
          <w:tcPr>
            <w:tcW w:w="1463" w:type="dxa"/>
            <w:tcBorders>
              <w:bottom w:val="double" w:sz="4" w:space="0" w:color="auto"/>
            </w:tcBorders>
            <w:vAlign w:val="center"/>
          </w:tcPr>
          <w:p w14:paraId="624BE64C" w14:textId="06B8888E" w:rsidR="0068116A" w:rsidRPr="0050405F" w:rsidRDefault="0068116A" w:rsidP="001D50F6">
            <w:pPr>
              <w:widowControl w:val="0"/>
              <w:autoSpaceDE w:val="0"/>
              <w:autoSpaceDN w:val="0"/>
              <w:adjustRightInd w:val="0"/>
              <w:jc w:val="center"/>
              <w:rPr>
                <w:rFonts w:asciiTheme="majorHAnsi" w:hAnsiTheme="majorHAnsi" w:cs="Arial"/>
                <w:b/>
                <w:color w:val="313431"/>
                <w:sz w:val="20"/>
                <w:szCs w:val="20"/>
              </w:rPr>
            </w:pPr>
            <w:r w:rsidRPr="0050405F">
              <w:rPr>
                <w:rFonts w:asciiTheme="majorHAnsi" w:hAnsiTheme="majorHAnsi" w:cs="Arial"/>
                <w:b/>
                <w:color w:val="313431"/>
                <w:sz w:val="20"/>
                <w:szCs w:val="20"/>
              </w:rPr>
              <w:t>PQRS Reporting Mechanisms</w:t>
            </w:r>
          </w:p>
        </w:tc>
      </w:tr>
      <w:tr w:rsidR="004D60D1" w:rsidRPr="0050405F" w14:paraId="17407B6B" w14:textId="77777777" w:rsidTr="002C6E84">
        <w:tc>
          <w:tcPr>
            <w:tcW w:w="713" w:type="dxa"/>
            <w:tcBorders>
              <w:top w:val="double" w:sz="4" w:space="0" w:color="auto"/>
              <w:bottom w:val="single" w:sz="4" w:space="0" w:color="auto"/>
            </w:tcBorders>
          </w:tcPr>
          <w:p w14:paraId="14E2A7B1" w14:textId="7CD9B3D2" w:rsidR="004D60D1" w:rsidRPr="004D60D1" w:rsidRDefault="004D60D1" w:rsidP="004D60D1">
            <w:pPr>
              <w:widowControl w:val="0"/>
              <w:autoSpaceDE w:val="0"/>
              <w:autoSpaceDN w:val="0"/>
              <w:adjustRightInd w:val="0"/>
              <w:rPr>
                <w:rFonts w:asciiTheme="majorHAnsi" w:hAnsiTheme="majorHAnsi" w:cs="Arial"/>
                <w:color w:val="313431"/>
                <w:sz w:val="20"/>
                <w:szCs w:val="20"/>
              </w:rPr>
            </w:pPr>
            <w:r>
              <w:rPr>
                <w:rFonts w:asciiTheme="majorHAnsi" w:hAnsiTheme="majorHAnsi" w:cs="Arial"/>
                <w:color w:val="313431"/>
                <w:sz w:val="20"/>
                <w:szCs w:val="20"/>
              </w:rPr>
              <w:t>46</w:t>
            </w:r>
          </w:p>
        </w:tc>
        <w:tc>
          <w:tcPr>
            <w:tcW w:w="2562" w:type="dxa"/>
            <w:tcBorders>
              <w:top w:val="double" w:sz="4" w:space="0" w:color="auto"/>
              <w:bottom w:val="single" w:sz="4" w:space="0" w:color="auto"/>
            </w:tcBorders>
          </w:tcPr>
          <w:p w14:paraId="4CC89B7F" w14:textId="77777777" w:rsidR="004D60D1" w:rsidRDefault="004D60D1" w:rsidP="004D60D1">
            <w:pPr>
              <w:widowControl w:val="0"/>
              <w:autoSpaceDE w:val="0"/>
              <w:autoSpaceDN w:val="0"/>
              <w:adjustRightInd w:val="0"/>
              <w:rPr>
                <w:rFonts w:asciiTheme="majorHAnsi" w:hAnsiTheme="majorHAnsi" w:cs="Arial"/>
                <w:color w:val="313431"/>
                <w:sz w:val="20"/>
                <w:szCs w:val="20"/>
              </w:rPr>
            </w:pPr>
            <w:r w:rsidRPr="004D60D1">
              <w:rPr>
                <w:rFonts w:asciiTheme="majorHAnsi" w:hAnsiTheme="majorHAnsi" w:cs="Arial"/>
                <w:color w:val="313431"/>
                <w:sz w:val="20"/>
                <w:szCs w:val="20"/>
              </w:rPr>
              <w:t>Medication Reconciliation</w:t>
            </w:r>
          </w:p>
          <w:p w14:paraId="68E4FC8C" w14:textId="14826C15" w:rsidR="00EB6531" w:rsidRPr="00EB6531" w:rsidRDefault="00EB6531" w:rsidP="004D60D1">
            <w:pPr>
              <w:widowControl w:val="0"/>
              <w:autoSpaceDE w:val="0"/>
              <w:autoSpaceDN w:val="0"/>
              <w:adjustRightInd w:val="0"/>
              <w:rPr>
                <w:rFonts w:asciiTheme="majorHAnsi" w:hAnsiTheme="majorHAnsi" w:cs="Arial"/>
                <w:i/>
                <w:color w:val="FF0000"/>
                <w:sz w:val="20"/>
                <w:szCs w:val="20"/>
              </w:rPr>
            </w:pPr>
            <w:r w:rsidRPr="002C6E84">
              <w:rPr>
                <w:rFonts w:asciiTheme="majorHAnsi" w:hAnsiTheme="majorHAnsi" w:cs="Arial"/>
                <w:i/>
                <w:color w:val="FF0000"/>
                <w:sz w:val="20"/>
                <w:szCs w:val="20"/>
              </w:rPr>
              <w:t>*cross-cutting measure</w:t>
            </w:r>
          </w:p>
          <w:p w14:paraId="5647E334" w14:textId="049BC050" w:rsidR="00EB6531" w:rsidRPr="004D60D1" w:rsidRDefault="00EB6531" w:rsidP="004D60D1">
            <w:pPr>
              <w:widowControl w:val="0"/>
              <w:autoSpaceDE w:val="0"/>
              <w:autoSpaceDN w:val="0"/>
              <w:adjustRightInd w:val="0"/>
              <w:rPr>
                <w:rFonts w:asciiTheme="majorHAnsi" w:hAnsiTheme="majorHAnsi" w:cs="Arial"/>
                <w:color w:val="313431"/>
                <w:sz w:val="20"/>
                <w:szCs w:val="20"/>
              </w:rPr>
            </w:pPr>
          </w:p>
        </w:tc>
        <w:tc>
          <w:tcPr>
            <w:tcW w:w="3239" w:type="dxa"/>
            <w:tcBorders>
              <w:top w:val="double" w:sz="4" w:space="0" w:color="auto"/>
              <w:bottom w:val="single" w:sz="4" w:space="0" w:color="auto"/>
            </w:tcBorders>
          </w:tcPr>
          <w:p w14:paraId="1EE41AAF" w14:textId="1304CBF9" w:rsidR="004D60D1" w:rsidRPr="00390DC1" w:rsidRDefault="00390DC1" w:rsidP="004D60D1">
            <w:pPr>
              <w:widowControl w:val="0"/>
              <w:autoSpaceDE w:val="0"/>
              <w:autoSpaceDN w:val="0"/>
              <w:adjustRightInd w:val="0"/>
              <w:rPr>
                <w:rFonts w:asciiTheme="majorHAnsi" w:hAnsiTheme="majorHAnsi" w:cs="Arial"/>
                <w:color w:val="313431"/>
                <w:sz w:val="20"/>
                <w:szCs w:val="20"/>
              </w:rPr>
            </w:pPr>
            <w:r w:rsidRPr="00390DC1">
              <w:rPr>
                <w:rFonts w:asciiTheme="majorHAnsi" w:hAnsiTheme="majorHAnsi"/>
                <w:sz w:val="20"/>
                <w:szCs w:val="20"/>
              </w:rPr>
              <w:t xml:space="preserve">Percentage of patients aged 18 years and older </w:t>
            </w:r>
            <w:r w:rsidRPr="00390DC1">
              <w:rPr>
                <w:rFonts w:asciiTheme="majorHAnsi" w:hAnsiTheme="majorHAnsi"/>
                <w:bCs/>
                <w:sz w:val="20"/>
                <w:szCs w:val="20"/>
              </w:rPr>
              <w:t xml:space="preserve">discharged from any inpatient facility </w:t>
            </w:r>
            <w:r w:rsidRPr="00390DC1">
              <w:rPr>
                <w:rFonts w:asciiTheme="majorHAnsi" w:hAnsiTheme="majorHAnsi"/>
                <w:sz w:val="20"/>
                <w:szCs w:val="20"/>
              </w:rPr>
              <w:t>(e</w:t>
            </w:r>
            <w:r>
              <w:rPr>
                <w:rFonts w:asciiTheme="majorHAnsi" w:hAnsiTheme="majorHAnsi"/>
                <w:sz w:val="20"/>
                <w:szCs w:val="20"/>
              </w:rPr>
              <w:t>.</w:t>
            </w:r>
            <w:r w:rsidRPr="00390DC1">
              <w:rPr>
                <w:rFonts w:asciiTheme="majorHAnsi" w:hAnsiTheme="majorHAnsi"/>
                <w:sz w:val="20"/>
                <w:szCs w:val="20"/>
              </w:rPr>
              <w:t>g</w:t>
            </w:r>
            <w:r>
              <w:rPr>
                <w:rFonts w:asciiTheme="majorHAnsi" w:hAnsiTheme="majorHAnsi"/>
                <w:sz w:val="20"/>
                <w:szCs w:val="20"/>
              </w:rPr>
              <w:t>.</w:t>
            </w:r>
            <w:r w:rsidRPr="00390DC1">
              <w:rPr>
                <w:rFonts w:asciiTheme="majorHAnsi" w:hAnsiTheme="majorHAnsi"/>
                <w:sz w:val="20"/>
                <w:szCs w:val="20"/>
              </w:rPr>
              <w:t xml:space="preserve">, hospital, skilled nursing facility, or rehabilitation facility) and </w:t>
            </w:r>
            <w:r w:rsidRPr="00390DC1">
              <w:rPr>
                <w:rFonts w:asciiTheme="majorHAnsi" w:hAnsiTheme="majorHAnsi"/>
                <w:bCs/>
                <w:sz w:val="20"/>
                <w:szCs w:val="20"/>
              </w:rPr>
              <w:t xml:space="preserve">seen within 30 days following discharge </w:t>
            </w:r>
            <w:r w:rsidRPr="00390DC1">
              <w:rPr>
                <w:rFonts w:asciiTheme="majorHAnsi" w:hAnsiTheme="majorHAnsi"/>
                <w:sz w:val="20"/>
                <w:szCs w:val="20"/>
              </w:rPr>
              <w:t xml:space="preserve">in the office by the physician, prescribing practitioner, registered nurse, or clinical pharmacist providing on-going care who had a reconciliation of the discharge medications with the current medication list in the outpatient medical record documented. </w:t>
            </w:r>
          </w:p>
        </w:tc>
        <w:tc>
          <w:tcPr>
            <w:tcW w:w="1599" w:type="dxa"/>
            <w:tcBorders>
              <w:top w:val="double" w:sz="4" w:space="0" w:color="auto"/>
              <w:bottom w:val="single" w:sz="4" w:space="0" w:color="auto"/>
            </w:tcBorders>
          </w:tcPr>
          <w:p w14:paraId="662D661F" w14:textId="77777777" w:rsidR="004D60D1" w:rsidRDefault="00390DC1" w:rsidP="004D60D1">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Communication and Care Coordination</w:t>
            </w:r>
          </w:p>
          <w:p w14:paraId="2FE0686B" w14:textId="6C23D49D" w:rsidR="00EB6531" w:rsidRPr="00EB6531" w:rsidRDefault="00EB6531" w:rsidP="004D60D1">
            <w:pPr>
              <w:widowControl w:val="0"/>
              <w:autoSpaceDE w:val="0"/>
              <w:autoSpaceDN w:val="0"/>
              <w:adjustRightInd w:val="0"/>
              <w:rPr>
                <w:rFonts w:asciiTheme="majorHAnsi" w:hAnsiTheme="majorHAnsi" w:cs="Arial"/>
                <w:b/>
                <w:i/>
                <w:color w:val="313431"/>
                <w:sz w:val="20"/>
                <w:szCs w:val="20"/>
              </w:rPr>
            </w:pPr>
          </w:p>
        </w:tc>
        <w:tc>
          <w:tcPr>
            <w:tcW w:w="1463" w:type="dxa"/>
            <w:tcBorders>
              <w:top w:val="double" w:sz="4" w:space="0" w:color="auto"/>
              <w:bottom w:val="single" w:sz="4" w:space="0" w:color="auto"/>
            </w:tcBorders>
          </w:tcPr>
          <w:p w14:paraId="4F12973A" w14:textId="33C975FD" w:rsidR="004D60D1" w:rsidRPr="0050405F" w:rsidRDefault="00390DC1" w:rsidP="004D60D1">
            <w:pPr>
              <w:widowControl w:val="0"/>
              <w:autoSpaceDE w:val="0"/>
              <w:autoSpaceDN w:val="0"/>
              <w:adjustRightInd w:val="0"/>
              <w:rPr>
                <w:rFonts w:asciiTheme="majorHAnsi" w:hAnsiTheme="majorHAnsi" w:cs="Arial"/>
                <w:b/>
                <w:color w:val="313431"/>
                <w:sz w:val="20"/>
                <w:szCs w:val="20"/>
              </w:rPr>
            </w:pPr>
            <w:r w:rsidRPr="0050405F">
              <w:rPr>
                <w:rFonts w:asciiTheme="majorHAnsi" w:hAnsiTheme="majorHAnsi" w:cs="Arial"/>
                <w:color w:val="313431"/>
                <w:sz w:val="20"/>
                <w:szCs w:val="20"/>
              </w:rPr>
              <w:t>Claims, Registry</w:t>
            </w:r>
          </w:p>
        </w:tc>
      </w:tr>
      <w:tr w:rsidR="00100C83" w:rsidRPr="0050405F" w14:paraId="2EFA89C2" w14:textId="77777777" w:rsidTr="002C6E84">
        <w:tc>
          <w:tcPr>
            <w:tcW w:w="713" w:type="dxa"/>
            <w:tcBorders>
              <w:top w:val="single" w:sz="4" w:space="0" w:color="auto"/>
            </w:tcBorders>
          </w:tcPr>
          <w:p w14:paraId="601A2183" w14:textId="322B9A7F" w:rsidR="0068116A" w:rsidRPr="0050405F"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47</w:t>
            </w:r>
          </w:p>
        </w:tc>
        <w:tc>
          <w:tcPr>
            <w:tcW w:w="2562" w:type="dxa"/>
            <w:tcBorders>
              <w:top w:val="single" w:sz="4" w:space="0" w:color="auto"/>
            </w:tcBorders>
          </w:tcPr>
          <w:p w14:paraId="7E44E689" w14:textId="2985555E" w:rsidR="0068116A"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Care Plan</w:t>
            </w:r>
          </w:p>
          <w:p w14:paraId="09EC7ED4" w14:textId="77777777" w:rsidR="00EB6531" w:rsidRPr="00EB6531" w:rsidRDefault="00EB6531" w:rsidP="00EB6531">
            <w:pPr>
              <w:widowControl w:val="0"/>
              <w:autoSpaceDE w:val="0"/>
              <w:autoSpaceDN w:val="0"/>
              <w:adjustRightInd w:val="0"/>
              <w:rPr>
                <w:rFonts w:asciiTheme="majorHAnsi" w:hAnsiTheme="majorHAnsi" w:cs="Arial"/>
                <w:i/>
                <w:color w:val="FF0000"/>
                <w:sz w:val="20"/>
                <w:szCs w:val="20"/>
              </w:rPr>
            </w:pPr>
            <w:r w:rsidRPr="00EB6531">
              <w:rPr>
                <w:rFonts w:asciiTheme="majorHAnsi" w:hAnsiTheme="majorHAnsi" w:cs="Arial"/>
                <w:i/>
                <w:color w:val="FF0000"/>
                <w:sz w:val="20"/>
                <w:szCs w:val="20"/>
              </w:rPr>
              <w:t>*cross-cutting measure</w:t>
            </w:r>
          </w:p>
          <w:p w14:paraId="658484DD" w14:textId="705B6CF3" w:rsidR="00EB6531" w:rsidRPr="0050405F" w:rsidRDefault="00EB6531" w:rsidP="00AA5525">
            <w:pPr>
              <w:widowControl w:val="0"/>
              <w:autoSpaceDE w:val="0"/>
              <w:autoSpaceDN w:val="0"/>
              <w:adjustRightInd w:val="0"/>
              <w:rPr>
                <w:rFonts w:asciiTheme="majorHAnsi" w:hAnsiTheme="majorHAnsi" w:cs="Arial"/>
                <w:color w:val="313431"/>
                <w:sz w:val="20"/>
                <w:szCs w:val="20"/>
              </w:rPr>
            </w:pPr>
          </w:p>
        </w:tc>
        <w:tc>
          <w:tcPr>
            <w:tcW w:w="3239" w:type="dxa"/>
            <w:tcBorders>
              <w:top w:val="single" w:sz="4" w:space="0" w:color="auto"/>
            </w:tcBorders>
          </w:tcPr>
          <w:p w14:paraId="27EA102B" w14:textId="294EF367" w:rsidR="0068116A" w:rsidRPr="0050405F" w:rsidRDefault="00100C83"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patients aged 65 years and older who have an advance care plan or surrogate decision maker documented in the medical record or </w:t>
            </w:r>
            <w:r w:rsidRPr="00E472D6">
              <w:rPr>
                <w:rFonts w:asciiTheme="majorHAnsi" w:hAnsiTheme="majorHAnsi" w:cs="Arial Narrow"/>
                <w:color w:val="000000"/>
                <w:sz w:val="20"/>
                <w:szCs w:val="20"/>
              </w:rPr>
              <w:t>documentation</w:t>
            </w:r>
            <w:r w:rsidRPr="0050405F">
              <w:rPr>
                <w:rFonts w:asciiTheme="majorHAnsi" w:hAnsiTheme="majorHAnsi" w:cs="Arial Narrow"/>
                <w:color w:val="000000"/>
                <w:sz w:val="20"/>
                <w:szCs w:val="20"/>
              </w:rPr>
              <w:t xml:space="preserve"> in the medical record that an advance care plan was discussed but the patient did not wish or was not able to name a surrogate decision maker or provide an advance care plan </w:t>
            </w:r>
          </w:p>
        </w:tc>
        <w:tc>
          <w:tcPr>
            <w:tcW w:w="1599" w:type="dxa"/>
            <w:tcBorders>
              <w:top w:val="single" w:sz="4" w:space="0" w:color="auto"/>
            </w:tcBorders>
          </w:tcPr>
          <w:p w14:paraId="597AFB17" w14:textId="23CDC824" w:rsidR="0068116A" w:rsidRPr="0050405F"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sz w:val="20"/>
                <w:szCs w:val="20"/>
              </w:rPr>
              <w:t>Communication and Care Coordination</w:t>
            </w:r>
          </w:p>
        </w:tc>
        <w:tc>
          <w:tcPr>
            <w:tcW w:w="1463" w:type="dxa"/>
            <w:tcBorders>
              <w:top w:val="single" w:sz="4" w:space="0" w:color="auto"/>
            </w:tcBorders>
          </w:tcPr>
          <w:p w14:paraId="5DFF8768" w14:textId="2883C4C0" w:rsidR="0068116A" w:rsidRPr="0050405F"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Claims, Registry</w:t>
            </w:r>
          </w:p>
        </w:tc>
      </w:tr>
      <w:tr w:rsidR="00100C83" w:rsidRPr="0050405F" w14:paraId="7BBF22BB" w14:textId="77777777" w:rsidTr="002C6E84">
        <w:tc>
          <w:tcPr>
            <w:tcW w:w="713" w:type="dxa"/>
          </w:tcPr>
          <w:p w14:paraId="1584847B" w14:textId="1D0CC4CA" w:rsidR="0068116A" w:rsidRPr="0050405F"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130</w:t>
            </w:r>
          </w:p>
        </w:tc>
        <w:tc>
          <w:tcPr>
            <w:tcW w:w="2562" w:type="dxa"/>
          </w:tcPr>
          <w:p w14:paraId="291B8F3E" w14:textId="7B28B184" w:rsidR="00C97B21" w:rsidRDefault="0068116A" w:rsidP="008F0F28">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Documentation of Current Medications in the Medical Record</w:t>
            </w:r>
          </w:p>
          <w:p w14:paraId="2152FE7D" w14:textId="77777777" w:rsidR="00C97B21" w:rsidRPr="00EB6531" w:rsidRDefault="00C97B21" w:rsidP="00C97B21">
            <w:pPr>
              <w:widowControl w:val="0"/>
              <w:autoSpaceDE w:val="0"/>
              <w:autoSpaceDN w:val="0"/>
              <w:adjustRightInd w:val="0"/>
              <w:rPr>
                <w:rFonts w:asciiTheme="majorHAnsi" w:hAnsiTheme="majorHAnsi" w:cs="Arial"/>
                <w:i/>
                <w:color w:val="FF0000"/>
                <w:sz w:val="20"/>
                <w:szCs w:val="20"/>
              </w:rPr>
            </w:pPr>
            <w:r w:rsidRPr="00EB6531">
              <w:rPr>
                <w:rFonts w:asciiTheme="majorHAnsi" w:hAnsiTheme="majorHAnsi" w:cs="Arial"/>
                <w:i/>
                <w:color w:val="FF0000"/>
                <w:sz w:val="20"/>
                <w:szCs w:val="20"/>
              </w:rPr>
              <w:t>*cross-cutting measure</w:t>
            </w:r>
          </w:p>
          <w:p w14:paraId="17DB21DA" w14:textId="24E678F9" w:rsidR="00C97B21" w:rsidRPr="0050405F" w:rsidRDefault="00C97B21" w:rsidP="008F0F28">
            <w:pPr>
              <w:widowControl w:val="0"/>
              <w:autoSpaceDE w:val="0"/>
              <w:autoSpaceDN w:val="0"/>
              <w:adjustRightInd w:val="0"/>
              <w:rPr>
                <w:rFonts w:asciiTheme="majorHAnsi" w:hAnsiTheme="majorHAnsi" w:cs="Arial"/>
                <w:color w:val="313431"/>
                <w:sz w:val="20"/>
                <w:szCs w:val="20"/>
              </w:rPr>
            </w:pPr>
          </w:p>
        </w:tc>
        <w:tc>
          <w:tcPr>
            <w:tcW w:w="3239" w:type="dxa"/>
          </w:tcPr>
          <w:p w14:paraId="4CAE6064" w14:textId="5A88238F" w:rsidR="0068116A" w:rsidRPr="0050405F"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sz w:val="20"/>
                <w:szCs w:val="20"/>
              </w:rPr>
              <w:t xml:space="preserve">Percentage of visits for patients aged 18 years and older for which the eligible professional attests to documenting a list of current medications using all immediate resources available on the date of the encounter. </w:t>
            </w:r>
            <w:r w:rsidRPr="0050405F">
              <w:rPr>
                <w:rFonts w:asciiTheme="majorHAnsi" w:hAnsiTheme="majorHAnsi"/>
                <w:sz w:val="20"/>
                <w:szCs w:val="20"/>
              </w:rPr>
              <w:lastRenderedPageBreak/>
              <w:t xml:space="preserve">This list </w:t>
            </w:r>
            <w:r w:rsidRPr="0050405F">
              <w:rPr>
                <w:rFonts w:asciiTheme="majorHAnsi" w:hAnsiTheme="majorHAnsi"/>
                <w:bCs/>
                <w:i/>
                <w:iCs/>
                <w:sz w:val="20"/>
                <w:szCs w:val="20"/>
              </w:rPr>
              <w:t xml:space="preserve">must </w:t>
            </w:r>
            <w:r w:rsidRPr="0050405F">
              <w:rPr>
                <w:rFonts w:asciiTheme="majorHAnsi" w:hAnsiTheme="majorHAnsi"/>
                <w:sz w:val="20"/>
                <w:szCs w:val="20"/>
              </w:rPr>
              <w:t xml:space="preserve">include ALL known prescriptions, over-the-counters, herbals, and vitamin/mineral/dietary (nutritional) supplements AND </w:t>
            </w:r>
            <w:r w:rsidRPr="0050405F">
              <w:rPr>
                <w:rFonts w:asciiTheme="majorHAnsi" w:hAnsiTheme="majorHAnsi"/>
                <w:bCs/>
                <w:i/>
                <w:iCs/>
                <w:sz w:val="20"/>
                <w:szCs w:val="20"/>
              </w:rPr>
              <w:t xml:space="preserve">must </w:t>
            </w:r>
            <w:r w:rsidRPr="0050405F">
              <w:rPr>
                <w:rFonts w:asciiTheme="majorHAnsi" w:hAnsiTheme="majorHAnsi"/>
                <w:sz w:val="20"/>
                <w:szCs w:val="20"/>
              </w:rPr>
              <w:t>contain the medications’ name, dosage, frequency and route of administration</w:t>
            </w:r>
          </w:p>
        </w:tc>
        <w:tc>
          <w:tcPr>
            <w:tcW w:w="1599" w:type="dxa"/>
          </w:tcPr>
          <w:p w14:paraId="58B4BF02" w14:textId="08F0001F" w:rsidR="0068116A" w:rsidRPr="0050405F" w:rsidRDefault="0068116A"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sz w:val="20"/>
                <w:szCs w:val="20"/>
              </w:rPr>
              <w:lastRenderedPageBreak/>
              <w:t>Patient Safety</w:t>
            </w:r>
          </w:p>
        </w:tc>
        <w:tc>
          <w:tcPr>
            <w:tcW w:w="1463" w:type="dxa"/>
          </w:tcPr>
          <w:p w14:paraId="29109209" w14:textId="25D67ACD" w:rsidR="0068116A" w:rsidRPr="0050405F" w:rsidRDefault="00100C83" w:rsidP="002A4C5F">
            <w:pPr>
              <w:pStyle w:val="Default"/>
              <w:rPr>
                <w:rFonts w:asciiTheme="majorHAnsi" w:hAnsiTheme="majorHAnsi" w:cs="Arial Narrow"/>
                <w:sz w:val="20"/>
                <w:szCs w:val="20"/>
              </w:rPr>
            </w:pPr>
            <w:r w:rsidRPr="0050405F">
              <w:rPr>
                <w:rFonts w:asciiTheme="majorHAnsi" w:hAnsiTheme="majorHAnsi" w:cs="Arial Narrow"/>
                <w:sz w:val="20"/>
                <w:szCs w:val="20"/>
              </w:rPr>
              <w:t>Claims, Registry</w:t>
            </w:r>
            <w:r w:rsidRPr="00B37679">
              <w:rPr>
                <w:rFonts w:asciiTheme="majorHAnsi" w:hAnsiTheme="majorHAnsi" w:cs="Arial Narrow"/>
                <w:sz w:val="20"/>
                <w:szCs w:val="20"/>
              </w:rPr>
              <w:t>, EHR</w:t>
            </w:r>
            <w:r w:rsidR="00B37679" w:rsidRPr="00B37679">
              <w:rPr>
                <w:rFonts w:asciiTheme="majorHAnsi" w:hAnsiTheme="majorHAnsi" w:cs="Arial Narrow"/>
                <w:sz w:val="20"/>
                <w:szCs w:val="20"/>
              </w:rPr>
              <w:t>,</w:t>
            </w:r>
            <w:r w:rsidR="00B37679">
              <w:rPr>
                <w:rFonts w:asciiTheme="majorHAnsi" w:hAnsiTheme="majorHAnsi" w:cs="Arial Narrow"/>
                <w:sz w:val="20"/>
                <w:szCs w:val="20"/>
              </w:rPr>
              <w:t xml:space="preserve"> GPRO Web Interface</w:t>
            </w:r>
          </w:p>
        </w:tc>
      </w:tr>
      <w:tr w:rsidR="00100C83" w:rsidRPr="0050405F" w14:paraId="4FBB3732" w14:textId="77777777" w:rsidTr="002C6E84">
        <w:tc>
          <w:tcPr>
            <w:tcW w:w="713" w:type="dxa"/>
          </w:tcPr>
          <w:p w14:paraId="0BC60F3E" w14:textId="1BAFD2F0" w:rsidR="004038F8" w:rsidRPr="0050405F" w:rsidRDefault="004038F8"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131</w:t>
            </w:r>
          </w:p>
        </w:tc>
        <w:tc>
          <w:tcPr>
            <w:tcW w:w="2562" w:type="dxa"/>
          </w:tcPr>
          <w:p w14:paraId="07F9C766" w14:textId="77777777" w:rsidR="004038F8" w:rsidRDefault="004038F8" w:rsidP="001A38CE">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 xml:space="preserve">Pain Assessment </w:t>
            </w:r>
            <w:r w:rsidR="001A38CE" w:rsidRPr="0050405F">
              <w:rPr>
                <w:rFonts w:asciiTheme="majorHAnsi" w:hAnsiTheme="majorHAnsi"/>
                <w:sz w:val="20"/>
                <w:szCs w:val="20"/>
              </w:rPr>
              <w:t xml:space="preserve">and </w:t>
            </w:r>
            <w:r w:rsidRPr="0050405F">
              <w:rPr>
                <w:rFonts w:asciiTheme="majorHAnsi" w:hAnsiTheme="majorHAnsi"/>
                <w:sz w:val="20"/>
                <w:szCs w:val="20"/>
              </w:rPr>
              <w:t>Follow-Up</w:t>
            </w:r>
          </w:p>
          <w:p w14:paraId="3DBC5519" w14:textId="77777777" w:rsidR="00C97B21" w:rsidRPr="00EB6531" w:rsidRDefault="00C97B21" w:rsidP="00C97B21">
            <w:pPr>
              <w:widowControl w:val="0"/>
              <w:autoSpaceDE w:val="0"/>
              <w:autoSpaceDN w:val="0"/>
              <w:adjustRightInd w:val="0"/>
              <w:rPr>
                <w:rFonts w:asciiTheme="majorHAnsi" w:hAnsiTheme="majorHAnsi" w:cs="Arial"/>
                <w:i/>
                <w:color w:val="FF0000"/>
                <w:sz w:val="20"/>
                <w:szCs w:val="20"/>
              </w:rPr>
            </w:pPr>
            <w:r w:rsidRPr="002C6E84">
              <w:rPr>
                <w:rFonts w:asciiTheme="majorHAnsi" w:hAnsiTheme="majorHAnsi" w:cs="Arial"/>
                <w:i/>
                <w:color w:val="FF0000"/>
                <w:sz w:val="20"/>
                <w:szCs w:val="20"/>
              </w:rPr>
              <w:t>*cross-cutting measure</w:t>
            </w:r>
          </w:p>
          <w:p w14:paraId="48438228" w14:textId="5FBDB426" w:rsidR="00C97B21" w:rsidRPr="0050405F" w:rsidRDefault="00C97B21" w:rsidP="001A38CE">
            <w:pPr>
              <w:widowControl w:val="0"/>
              <w:autoSpaceDE w:val="0"/>
              <w:autoSpaceDN w:val="0"/>
              <w:adjustRightInd w:val="0"/>
              <w:rPr>
                <w:rFonts w:asciiTheme="majorHAnsi" w:hAnsiTheme="majorHAnsi"/>
                <w:sz w:val="20"/>
                <w:szCs w:val="20"/>
              </w:rPr>
            </w:pPr>
          </w:p>
        </w:tc>
        <w:tc>
          <w:tcPr>
            <w:tcW w:w="3239" w:type="dxa"/>
          </w:tcPr>
          <w:p w14:paraId="60E5210E" w14:textId="15E839AD" w:rsidR="004038F8" w:rsidRPr="0050405F" w:rsidRDefault="004038F8"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visits for patients aged 18 years and older with documentation of a pain assessment using a standardized tool(s) on each visit AND documentation of a follow-up plan when pain is present </w:t>
            </w:r>
          </w:p>
        </w:tc>
        <w:tc>
          <w:tcPr>
            <w:tcW w:w="1599" w:type="dxa"/>
          </w:tcPr>
          <w:p w14:paraId="24715BB0" w14:textId="77777777" w:rsidR="004038F8" w:rsidRPr="0050405F" w:rsidRDefault="004038F8" w:rsidP="004038F8">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Community/ </w:t>
            </w:r>
          </w:p>
          <w:p w14:paraId="5131FED6" w14:textId="79F0AFEA" w:rsidR="004038F8" w:rsidRPr="0050405F" w:rsidRDefault="004038F8" w:rsidP="004038F8">
            <w:pPr>
              <w:widowControl w:val="0"/>
              <w:autoSpaceDE w:val="0"/>
              <w:autoSpaceDN w:val="0"/>
              <w:adjustRightInd w:val="0"/>
              <w:rPr>
                <w:rFonts w:asciiTheme="majorHAnsi" w:hAnsiTheme="majorHAnsi"/>
                <w:sz w:val="20"/>
                <w:szCs w:val="20"/>
              </w:rPr>
            </w:pPr>
            <w:r w:rsidRPr="0050405F">
              <w:rPr>
                <w:rFonts w:asciiTheme="majorHAnsi" w:hAnsiTheme="majorHAnsi" w:cs="Arial Narrow"/>
                <w:color w:val="000000"/>
                <w:sz w:val="20"/>
                <w:szCs w:val="20"/>
              </w:rPr>
              <w:t xml:space="preserve">Population Health </w:t>
            </w:r>
          </w:p>
        </w:tc>
        <w:tc>
          <w:tcPr>
            <w:tcW w:w="1463" w:type="dxa"/>
          </w:tcPr>
          <w:p w14:paraId="060A2F0A" w14:textId="09D2B57B" w:rsidR="004038F8" w:rsidRPr="0050405F" w:rsidRDefault="004038F8" w:rsidP="004038F8">
            <w:pPr>
              <w:pStyle w:val="Default"/>
              <w:rPr>
                <w:rFonts w:asciiTheme="majorHAnsi" w:hAnsiTheme="majorHAnsi" w:cs="Arial Narrow"/>
                <w:sz w:val="20"/>
                <w:szCs w:val="20"/>
              </w:rPr>
            </w:pPr>
            <w:r w:rsidRPr="0050405F">
              <w:rPr>
                <w:rFonts w:asciiTheme="majorHAnsi" w:hAnsiTheme="majorHAnsi" w:cs="Arial Narrow"/>
                <w:sz w:val="20"/>
                <w:szCs w:val="20"/>
              </w:rPr>
              <w:t>Claims, Registry</w:t>
            </w:r>
          </w:p>
        </w:tc>
      </w:tr>
      <w:tr w:rsidR="00100C83" w:rsidRPr="0050405F" w14:paraId="0A6906B7" w14:textId="77777777" w:rsidTr="002C6E84">
        <w:tc>
          <w:tcPr>
            <w:tcW w:w="713" w:type="dxa"/>
          </w:tcPr>
          <w:p w14:paraId="310CDAEB" w14:textId="49EF5362" w:rsidR="004038F8" w:rsidRPr="0050405F" w:rsidRDefault="004038F8"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134</w:t>
            </w:r>
          </w:p>
        </w:tc>
        <w:tc>
          <w:tcPr>
            <w:tcW w:w="2562" w:type="dxa"/>
          </w:tcPr>
          <w:p w14:paraId="7D197E1D" w14:textId="053F22F6" w:rsidR="004038F8" w:rsidRDefault="004038F8" w:rsidP="00AA5525">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 xml:space="preserve">Depression </w:t>
            </w:r>
            <w:r w:rsidR="00E472D6">
              <w:rPr>
                <w:rFonts w:asciiTheme="majorHAnsi" w:hAnsiTheme="majorHAnsi"/>
                <w:sz w:val="20"/>
                <w:szCs w:val="20"/>
              </w:rPr>
              <w:t xml:space="preserve">Screening Follow-Up </w:t>
            </w:r>
          </w:p>
          <w:p w14:paraId="1053AD33" w14:textId="77777777" w:rsidR="00C97B21" w:rsidRPr="00EB6531" w:rsidRDefault="00C97B21" w:rsidP="00C97B21">
            <w:pPr>
              <w:widowControl w:val="0"/>
              <w:autoSpaceDE w:val="0"/>
              <w:autoSpaceDN w:val="0"/>
              <w:adjustRightInd w:val="0"/>
              <w:rPr>
                <w:rFonts w:asciiTheme="majorHAnsi" w:hAnsiTheme="majorHAnsi" w:cs="Arial"/>
                <w:i/>
                <w:color w:val="FF0000"/>
                <w:sz w:val="20"/>
                <w:szCs w:val="20"/>
              </w:rPr>
            </w:pPr>
            <w:r w:rsidRPr="002C6E84">
              <w:rPr>
                <w:rFonts w:asciiTheme="majorHAnsi" w:hAnsiTheme="majorHAnsi" w:cs="Arial"/>
                <w:i/>
                <w:color w:val="FF0000"/>
                <w:sz w:val="20"/>
                <w:szCs w:val="20"/>
              </w:rPr>
              <w:t>*cross-cutting measure</w:t>
            </w:r>
          </w:p>
          <w:p w14:paraId="553724F0" w14:textId="7D5EA5DF" w:rsidR="00C97B21" w:rsidRPr="0050405F" w:rsidRDefault="00C97B21" w:rsidP="00AA5525">
            <w:pPr>
              <w:widowControl w:val="0"/>
              <w:autoSpaceDE w:val="0"/>
              <w:autoSpaceDN w:val="0"/>
              <w:adjustRightInd w:val="0"/>
              <w:rPr>
                <w:rFonts w:asciiTheme="majorHAnsi" w:hAnsiTheme="majorHAnsi"/>
                <w:sz w:val="20"/>
                <w:szCs w:val="20"/>
              </w:rPr>
            </w:pPr>
          </w:p>
        </w:tc>
        <w:tc>
          <w:tcPr>
            <w:tcW w:w="3239" w:type="dxa"/>
          </w:tcPr>
          <w:p w14:paraId="3F90F489" w14:textId="55EF5E9E" w:rsidR="004038F8" w:rsidRPr="0050405F" w:rsidRDefault="004038F8"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patients aged 12 years and older screened for clinical depression on the date of the encounter using an age appropriate standardized depression screening tool AND if positive, a follow-up plan is documented on the date of the positive screen </w:t>
            </w:r>
          </w:p>
        </w:tc>
        <w:tc>
          <w:tcPr>
            <w:tcW w:w="1599" w:type="dxa"/>
          </w:tcPr>
          <w:p w14:paraId="1F1944C0" w14:textId="77777777" w:rsidR="00AC697B" w:rsidRPr="0050405F" w:rsidRDefault="00AC697B" w:rsidP="00AC697B">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Community/ </w:t>
            </w:r>
          </w:p>
          <w:p w14:paraId="37021472" w14:textId="73E6C509" w:rsidR="004038F8" w:rsidRPr="0050405F" w:rsidRDefault="00AC697B" w:rsidP="00AC697B">
            <w:pPr>
              <w:widowControl w:val="0"/>
              <w:autoSpaceDE w:val="0"/>
              <w:autoSpaceDN w:val="0"/>
              <w:adjustRightInd w:val="0"/>
              <w:rPr>
                <w:rFonts w:asciiTheme="majorHAnsi" w:hAnsiTheme="majorHAnsi"/>
                <w:sz w:val="20"/>
                <w:szCs w:val="20"/>
              </w:rPr>
            </w:pPr>
            <w:r w:rsidRPr="0050405F">
              <w:rPr>
                <w:rFonts w:asciiTheme="majorHAnsi" w:hAnsiTheme="majorHAnsi" w:cs="Arial Narrow"/>
                <w:color w:val="000000"/>
                <w:sz w:val="20"/>
                <w:szCs w:val="20"/>
              </w:rPr>
              <w:t xml:space="preserve">Population Health </w:t>
            </w:r>
          </w:p>
        </w:tc>
        <w:tc>
          <w:tcPr>
            <w:tcW w:w="1463" w:type="dxa"/>
          </w:tcPr>
          <w:p w14:paraId="7976684A" w14:textId="667BA66D" w:rsidR="004038F8" w:rsidRPr="0050405F" w:rsidRDefault="004038F8" w:rsidP="004038F8">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Claims, Registry, </w:t>
            </w:r>
            <w:r w:rsidRPr="002A4C5F">
              <w:rPr>
                <w:rFonts w:asciiTheme="majorHAnsi" w:hAnsiTheme="majorHAnsi" w:cs="Arial Narrow"/>
                <w:color w:val="000000"/>
                <w:sz w:val="20"/>
                <w:szCs w:val="20"/>
              </w:rPr>
              <w:t>EHR, GPRO Web Interface</w:t>
            </w:r>
          </w:p>
          <w:p w14:paraId="65D729BC" w14:textId="77777777" w:rsidR="004038F8" w:rsidRPr="0050405F" w:rsidRDefault="004038F8" w:rsidP="004038F8">
            <w:pPr>
              <w:pStyle w:val="Default"/>
              <w:rPr>
                <w:rFonts w:asciiTheme="majorHAnsi" w:hAnsiTheme="majorHAnsi" w:cs="Arial Narrow"/>
                <w:sz w:val="20"/>
                <w:szCs w:val="20"/>
              </w:rPr>
            </w:pPr>
          </w:p>
        </w:tc>
      </w:tr>
      <w:tr w:rsidR="00100C83" w:rsidRPr="0050405F" w14:paraId="0F16CD77" w14:textId="77777777" w:rsidTr="002C6E84">
        <w:tc>
          <w:tcPr>
            <w:tcW w:w="713" w:type="dxa"/>
          </w:tcPr>
          <w:p w14:paraId="4F702413" w14:textId="7721D929" w:rsidR="004038F8" w:rsidRPr="0050405F" w:rsidRDefault="00AC697B"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143</w:t>
            </w:r>
          </w:p>
        </w:tc>
        <w:tc>
          <w:tcPr>
            <w:tcW w:w="2562" w:type="dxa"/>
          </w:tcPr>
          <w:p w14:paraId="1C24CFCF" w14:textId="09D38917" w:rsidR="004038F8" w:rsidRPr="0050405F" w:rsidRDefault="00AC697B" w:rsidP="00AA5525">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Oncology: Medical and Radiation – Pain Intensity</w:t>
            </w:r>
            <w:r w:rsidR="002C6E84">
              <w:rPr>
                <w:rFonts w:asciiTheme="majorHAnsi" w:hAnsiTheme="majorHAnsi"/>
                <w:sz w:val="20"/>
                <w:szCs w:val="20"/>
              </w:rPr>
              <w:t xml:space="preserve"> Quantified</w:t>
            </w:r>
          </w:p>
        </w:tc>
        <w:tc>
          <w:tcPr>
            <w:tcW w:w="3239" w:type="dxa"/>
          </w:tcPr>
          <w:p w14:paraId="4B45090C" w14:textId="08F95A20"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patient visits, regardless of patient age, with a diagnosis of cancer currently receiving chemotherapy or radiation therapy in which pain intensity is quantified </w:t>
            </w:r>
          </w:p>
        </w:tc>
        <w:tc>
          <w:tcPr>
            <w:tcW w:w="1599" w:type="dxa"/>
          </w:tcPr>
          <w:p w14:paraId="3278EAD3" w14:textId="6103318C"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Person and Caregiver-Centered Experience and Outcomes </w:t>
            </w:r>
          </w:p>
        </w:tc>
        <w:tc>
          <w:tcPr>
            <w:tcW w:w="1463" w:type="dxa"/>
          </w:tcPr>
          <w:p w14:paraId="712AE678" w14:textId="6FC6B67E" w:rsidR="00AC697B" w:rsidRPr="0050405F" w:rsidRDefault="00100C83" w:rsidP="00AC697B">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Registry, </w:t>
            </w:r>
            <w:r w:rsidRPr="002A4C5F">
              <w:rPr>
                <w:rFonts w:asciiTheme="majorHAnsi" w:hAnsiTheme="majorHAnsi" w:cs="Arial Narrow"/>
                <w:color w:val="000000"/>
                <w:sz w:val="20"/>
                <w:szCs w:val="20"/>
              </w:rPr>
              <w:t>EHR</w:t>
            </w:r>
          </w:p>
          <w:p w14:paraId="63D575D8" w14:textId="77777777" w:rsidR="004038F8" w:rsidRPr="0050405F" w:rsidRDefault="004038F8" w:rsidP="004038F8">
            <w:pPr>
              <w:pStyle w:val="Default"/>
              <w:rPr>
                <w:rFonts w:asciiTheme="majorHAnsi" w:hAnsiTheme="majorHAnsi" w:cs="Arial Narrow"/>
                <w:sz w:val="20"/>
                <w:szCs w:val="20"/>
              </w:rPr>
            </w:pPr>
          </w:p>
        </w:tc>
      </w:tr>
      <w:tr w:rsidR="00100C83" w:rsidRPr="0050405F" w14:paraId="1DF71984" w14:textId="77777777" w:rsidTr="002C6E84">
        <w:tc>
          <w:tcPr>
            <w:tcW w:w="713" w:type="dxa"/>
          </w:tcPr>
          <w:p w14:paraId="7457622D" w14:textId="24E61B9D" w:rsidR="004038F8" w:rsidRPr="0050405F" w:rsidRDefault="00AC697B"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144</w:t>
            </w:r>
          </w:p>
        </w:tc>
        <w:tc>
          <w:tcPr>
            <w:tcW w:w="2562" w:type="dxa"/>
          </w:tcPr>
          <w:p w14:paraId="575E3D6D" w14:textId="3DCE0D6E" w:rsidR="004038F8" w:rsidRPr="0050405F" w:rsidRDefault="00AC697B" w:rsidP="00AA5525">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Oncology: Medical and Radiation – Plan of Care for Pain</w:t>
            </w:r>
          </w:p>
        </w:tc>
        <w:tc>
          <w:tcPr>
            <w:tcW w:w="3239" w:type="dxa"/>
          </w:tcPr>
          <w:p w14:paraId="556759C9" w14:textId="16A2C7A2"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visits for patients, regardless of age, with a diagnosis of cancer currently receiving chemotherapy or radiation therapy who report having pain with a documented plan of care to address pain </w:t>
            </w:r>
          </w:p>
        </w:tc>
        <w:tc>
          <w:tcPr>
            <w:tcW w:w="1599" w:type="dxa"/>
          </w:tcPr>
          <w:p w14:paraId="78EC5007" w14:textId="5290C357"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Person and Caregiver-Centered Experience and Outcomes </w:t>
            </w:r>
          </w:p>
        </w:tc>
        <w:tc>
          <w:tcPr>
            <w:tcW w:w="1463" w:type="dxa"/>
          </w:tcPr>
          <w:p w14:paraId="53B6744C" w14:textId="698BE8FF" w:rsidR="00AC697B" w:rsidRPr="0050405F" w:rsidRDefault="00100C83" w:rsidP="00AC697B">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Registry</w:t>
            </w:r>
          </w:p>
          <w:p w14:paraId="1CC71ED9" w14:textId="77777777" w:rsidR="004038F8" w:rsidRPr="0050405F" w:rsidRDefault="004038F8" w:rsidP="004038F8">
            <w:pPr>
              <w:pStyle w:val="Default"/>
              <w:rPr>
                <w:rFonts w:asciiTheme="majorHAnsi" w:hAnsiTheme="majorHAnsi" w:cs="Arial Narrow"/>
                <w:sz w:val="20"/>
                <w:szCs w:val="20"/>
              </w:rPr>
            </w:pPr>
          </w:p>
        </w:tc>
      </w:tr>
      <w:tr w:rsidR="00100C83" w:rsidRPr="0050405F" w14:paraId="5B55C357" w14:textId="77777777" w:rsidTr="002C6E84">
        <w:tc>
          <w:tcPr>
            <w:tcW w:w="713" w:type="dxa"/>
          </w:tcPr>
          <w:p w14:paraId="400055A0" w14:textId="6A9F834D" w:rsidR="004038F8" w:rsidRPr="002C6E84" w:rsidRDefault="00AC697B" w:rsidP="00AA5525">
            <w:pPr>
              <w:widowControl w:val="0"/>
              <w:autoSpaceDE w:val="0"/>
              <w:autoSpaceDN w:val="0"/>
              <w:adjustRightInd w:val="0"/>
              <w:rPr>
                <w:rFonts w:asciiTheme="majorHAnsi" w:hAnsiTheme="majorHAnsi" w:cs="Arial"/>
                <w:color w:val="313431"/>
                <w:sz w:val="20"/>
                <w:szCs w:val="20"/>
              </w:rPr>
            </w:pPr>
            <w:r w:rsidRPr="002C6E84">
              <w:rPr>
                <w:rFonts w:asciiTheme="majorHAnsi" w:hAnsiTheme="majorHAnsi" w:cs="Arial"/>
                <w:color w:val="313431"/>
                <w:sz w:val="20"/>
                <w:szCs w:val="20"/>
              </w:rPr>
              <w:t>154</w:t>
            </w:r>
          </w:p>
        </w:tc>
        <w:tc>
          <w:tcPr>
            <w:tcW w:w="2562" w:type="dxa"/>
          </w:tcPr>
          <w:p w14:paraId="1737EA28" w14:textId="77777777" w:rsidR="004038F8" w:rsidRDefault="00AC697B" w:rsidP="00AA5525">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Falls: Risk Assessment</w:t>
            </w:r>
          </w:p>
          <w:p w14:paraId="7323127C" w14:textId="77777777" w:rsidR="00240DAD" w:rsidRPr="00EB6531" w:rsidRDefault="00240DAD" w:rsidP="00240DAD">
            <w:pPr>
              <w:widowControl w:val="0"/>
              <w:autoSpaceDE w:val="0"/>
              <w:autoSpaceDN w:val="0"/>
              <w:adjustRightInd w:val="0"/>
              <w:rPr>
                <w:rFonts w:asciiTheme="majorHAnsi" w:hAnsiTheme="majorHAnsi" w:cs="Arial"/>
                <w:i/>
                <w:color w:val="FF0000"/>
                <w:sz w:val="20"/>
                <w:szCs w:val="20"/>
              </w:rPr>
            </w:pPr>
            <w:r w:rsidRPr="002C6E84">
              <w:rPr>
                <w:rFonts w:asciiTheme="majorHAnsi" w:hAnsiTheme="majorHAnsi" w:cs="Arial"/>
                <w:i/>
                <w:color w:val="FF0000"/>
                <w:sz w:val="20"/>
                <w:szCs w:val="20"/>
              </w:rPr>
              <w:t>*cross-cutting measure</w:t>
            </w:r>
          </w:p>
          <w:p w14:paraId="67E1C18D" w14:textId="238907E0" w:rsidR="004C3C0E" w:rsidRPr="004C3C0E" w:rsidRDefault="00240DAD" w:rsidP="00240DAD">
            <w:pPr>
              <w:widowControl w:val="0"/>
              <w:autoSpaceDE w:val="0"/>
              <w:autoSpaceDN w:val="0"/>
              <w:adjustRightInd w:val="0"/>
              <w:rPr>
                <w:rFonts w:asciiTheme="majorHAnsi" w:hAnsiTheme="majorHAnsi"/>
                <w:i/>
                <w:sz w:val="20"/>
                <w:szCs w:val="20"/>
              </w:rPr>
            </w:pPr>
            <w:r w:rsidRPr="004C3C0E">
              <w:rPr>
                <w:rFonts w:asciiTheme="majorHAnsi" w:hAnsiTheme="majorHAnsi"/>
                <w:i/>
                <w:sz w:val="20"/>
                <w:szCs w:val="20"/>
              </w:rPr>
              <w:t xml:space="preserve"> </w:t>
            </w:r>
            <w:r w:rsidR="004C3C0E" w:rsidRPr="004C3C0E">
              <w:rPr>
                <w:rFonts w:asciiTheme="majorHAnsi" w:hAnsiTheme="majorHAnsi"/>
                <w:i/>
                <w:sz w:val="20"/>
                <w:szCs w:val="20"/>
              </w:rPr>
              <w:t>(note: this is a two part measure paired with measure #155)</w:t>
            </w:r>
          </w:p>
        </w:tc>
        <w:tc>
          <w:tcPr>
            <w:tcW w:w="3239" w:type="dxa"/>
          </w:tcPr>
          <w:p w14:paraId="5ACB23AD" w14:textId="7DD16252"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patients aged 65 years and older with a history of falls who had a risk assessment for falls completed within 12 months </w:t>
            </w:r>
          </w:p>
        </w:tc>
        <w:tc>
          <w:tcPr>
            <w:tcW w:w="1599" w:type="dxa"/>
          </w:tcPr>
          <w:p w14:paraId="3E247B70" w14:textId="0BE8D3D6" w:rsidR="004038F8" w:rsidRPr="0050405F" w:rsidRDefault="00AC697B" w:rsidP="00AA5525">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Patient Safety</w:t>
            </w:r>
          </w:p>
        </w:tc>
        <w:tc>
          <w:tcPr>
            <w:tcW w:w="1463" w:type="dxa"/>
          </w:tcPr>
          <w:p w14:paraId="18A05E7E" w14:textId="7E13749B" w:rsidR="004038F8" w:rsidRPr="0050405F" w:rsidRDefault="00AC697B" w:rsidP="004038F8">
            <w:pPr>
              <w:pStyle w:val="Default"/>
              <w:rPr>
                <w:rFonts w:asciiTheme="majorHAnsi" w:hAnsiTheme="majorHAnsi" w:cs="Arial Narrow"/>
                <w:sz w:val="20"/>
                <w:szCs w:val="20"/>
              </w:rPr>
            </w:pPr>
            <w:r w:rsidRPr="0050405F">
              <w:rPr>
                <w:rFonts w:asciiTheme="majorHAnsi" w:hAnsiTheme="majorHAnsi" w:cs="Arial Narrow"/>
                <w:sz w:val="20"/>
                <w:szCs w:val="20"/>
              </w:rPr>
              <w:t>Claims, Registry</w:t>
            </w:r>
          </w:p>
        </w:tc>
      </w:tr>
      <w:tr w:rsidR="00100C83" w:rsidRPr="0050405F" w14:paraId="6139A830" w14:textId="77777777" w:rsidTr="002C6E84">
        <w:trPr>
          <w:trHeight w:val="1205"/>
        </w:trPr>
        <w:tc>
          <w:tcPr>
            <w:tcW w:w="713" w:type="dxa"/>
          </w:tcPr>
          <w:p w14:paraId="6EF696E1" w14:textId="20284AE6" w:rsidR="004038F8" w:rsidRPr="002C6E84" w:rsidRDefault="00AC697B" w:rsidP="00AA5525">
            <w:pPr>
              <w:widowControl w:val="0"/>
              <w:autoSpaceDE w:val="0"/>
              <w:autoSpaceDN w:val="0"/>
              <w:adjustRightInd w:val="0"/>
              <w:rPr>
                <w:rFonts w:asciiTheme="majorHAnsi" w:hAnsiTheme="majorHAnsi" w:cs="Arial"/>
                <w:color w:val="313431"/>
                <w:sz w:val="20"/>
                <w:szCs w:val="20"/>
              </w:rPr>
            </w:pPr>
            <w:r w:rsidRPr="002C6E84">
              <w:rPr>
                <w:rFonts w:asciiTheme="majorHAnsi" w:hAnsiTheme="majorHAnsi" w:cs="Arial"/>
                <w:color w:val="313431"/>
                <w:sz w:val="20"/>
                <w:szCs w:val="20"/>
              </w:rPr>
              <w:t>155</w:t>
            </w:r>
          </w:p>
        </w:tc>
        <w:tc>
          <w:tcPr>
            <w:tcW w:w="2562" w:type="dxa"/>
          </w:tcPr>
          <w:p w14:paraId="5AFFD458" w14:textId="77777777" w:rsidR="00240DAD" w:rsidRDefault="00AC697B" w:rsidP="00AA5525">
            <w:pPr>
              <w:widowControl w:val="0"/>
              <w:autoSpaceDE w:val="0"/>
              <w:autoSpaceDN w:val="0"/>
              <w:adjustRightInd w:val="0"/>
              <w:rPr>
                <w:rFonts w:asciiTheme="majorHAnsi" w:hAnsiTheme="majorHAnsi"/>
                <w:sz w:val="20"/>
                <w:szCs w:val="20"/>
              </w:rPr>
            </w:pPr>
            <w:r w:rsidRPr="0050405F">
              <w:rPr>
                <w:rFonts w:asciiTheme="majorHAnsi" w:hAnsiTheme="majorHAnsi"/>
                <w:sz w:val="20"/>
                <w:szCs w:val="20"/>
              </w:rPr>
              <w:t xml:space="preserve">Falls: Plan of Care </w:t>
            </w:r>
          </w:p>
          <w:p w14:paraId="5349827A" w14:textId="77777777" w:rsidR="00240DAD" w:rsidRPr="00EB6531" w:rsidRDefault="00240DAD" w:rsidP="00240DAD">
            <w:pPr>
              <w:widowControl w:val="0"/>
              <w:autoSpaceDE w:val="0"/>
              <w:autoSpaceDN w:val="0"/>
              <w:adjustRightInd w:val="0"/>
              <w:rPr>
                <w:rFonts w:asciiTheme="majorHAnsi" w:hAnsiTheme="majorHAnsi" w:cs="Arial"/>
                <w:i/>
                <w:color w:val="FF0000"/>
                <w:sz w:val="20"/>
                <w:szCs w:val="20"/>
              </w:rPr>
            </w:pPr>
            <w:r w:rsidRPr="002C6E84">
              <w:rPr>
                <w:rFonts w:asciiTheme="majorHAnsi" w:hAnsiTheme="majorHAnsi" w:cs="Arial"/>
                <w:i/>
                <w:color w:val="FF0000"/>
                <w:sz w:val="20"/>
                <w:szCs w:val="20"/>
              </w:rPr>
              <w:t>*cross-cutting measure</w:t>
            </w:r>
          </w:p>
          <w:p w14:paraId="05073738" w14:textId="461F6706" w:rsidR="004038F8" w:rsidRPr="0050405F" w:rsidRDefault="00240DAD" w:rsidP="00240DAD">
            <w:pPr>
              <w:widowControl w:val="0"/>
              <w:autoSpaceDE w:val="0"/>
              <w:autoSpaceDN w:val="0"/>
              <w:adjustRightInd w:val="0"/>
              <w:rPr>
                <w:rFonts w:asciiTheme="majorHAnsi" w:hAnsiTheme="majorHAnsi"/>
                <w:sz w:val="20"/>
                <w:szCs w:val="20"/>
              </w:rPr>
            </w:pPr>
            <w:r w:rsidRPr="004C3C0E">
              <w:rPr>
                <w:rFonts w:asciiTheme="majorHAnsi" w:hAnsiTheme="majorHAnsi"/>
                <w:i/>
                <w:sz w:val="20"/>
                <w:szCs w:val="20"/>
              </w:rPr>
              <w:t xml:space="preserve"> </w:t>
            </w:r>
            <w:r w:rsidR="004C3C0E" w:rsidRPr="004C3C0E">
              <w:rPr>
                <w:rFonts w:asciiTheme="majorHAnsi" w:hAnsiTheme="majorHAnsi"/>
                <w:i/>
                <w:sz w:val="20"/>
                <w:szCs w:val="20"/>
              </w:rPr>
              <w:t>(note: this is a two part measure paired with m</w:t>
            </w:r>
            <w:r w:rsidR="004C3C0E">
              <w:rPr>
                <w:rFonts w:asciiTheme="majorHAnsi" w:hAnsiTheme="majorHAnsi"/>
                <w:i/>
                <w:sz w:val="20"/>
                <w:szCs w:val="20"/>
              </w:rPr>
              <w:t>easure #154</w:t>
            </w:r>
            <w:r w:rsidR="004C3C0E" w:rsidRPr="004C3C0E">
              <w:rPr>
                <w:rFonts w:asciiTheme="majorHAnsi" w:hAnsiTheme="majorHAnsi"/>
                <w:i/>
                <w:sz w:val="20"/>
                <w:szCs w:val="20"/>
              </w:rPr>
              <w:t>)</w:t>
            </w:r>
          </w:p>
        </w:tc>
        <w:tc>
          <w:tcPr>
            <w:tcW w:w="3239" w:type="dxa"/>
          </w:tcPr>
          <w:p w14:paraId="00DE0E07" w14:textId="64B5E723"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Percentage of patients aged 65 years and older with a history of falls who had a plan of care for falls documented within 12 months </w:t>
            </w:r>
          </w:p>
        </w:tc>
        <w:tc>
          <w:tcPr>
            <w:tcW w:w="1599" w:type="dxa"/>
          </w:tcPr>
          <w:p w14:paraId="61CCDC3C" w14:textId="31711397" w:rsidR="004038F8" w:rsidRPr="0050405F" w:rsidRDefault="00AC697B"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Communication and Care Coordination </w:t>
            </w:r>
          </w:p>
        </w:tc>
        <w:tc>
          <w:tcPr>
            <w:tcW w:w="1463" w:type="dxa"/>
          </w:tcPr>
          <w:p w14:paraId="5191B722" w14:textId="715972E7" w:rsidR="00AC697B" w:rsidRPr="0050405F" w:rsidRDefault="00AC697B" w:rsidP="00AC697B">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Claims, Registry</w:t>
            </w:r>
          </w:p>
          <w:p w14:paraId="0B29E4C2" w14:textId="77777777" w:rsidR="004038F8" w:rsidRPr="0050405F" w:rsidRDefault="004038F8" w:rsidP="004038F8">
            <w:pPr>
              <w:pStyle w:val="Default"/>
              <w:rPr>
                <w:rFonts w:asciiTheme="majorHAnsi" w:hAnsiTheme="majorHAnsi" w:cs="Arial Narrow"/>
                <w:sz w:val="20"/>
                <w:szCs w:val="20"/>
              </w:rPr>
            </w:pPr>
          </w:p>
        </w:tc>
      </w:tr>
      <w:tr w:rsidR="002C6E84" w:rsidRPr="0050405F" w14:paraId="46C93DCE" w14:textId="77777777" w:rsidTr="002C6E84">
        <w:tc>
          <w:tcPr>
            <w:tcW w:w="713" w:type="dxa"/>
          </w:tcPr>
          <w:p w14:paraId="16298723" w14:textId="2E7672CD" w:rsidR="002C6E84" w:rsidRPr="002C6E84" w:rsidRDefault="002C6E84" w:rsidP="00AA5525">
            <w:pPr>
              <w:widowControl w:val="0"/>
              <w:autoSpaceDE w:val="0"/>
              <w:autoSpaceDN w:val="0"/>
              <w:adjustRightInd w:val="0"/>
              <w:rPr>
                <w:rFonts w:asciiTheme="majorHAnsi" w:hAnsiTheme="majorHAnsi" w:cs="Arial"/>
                <w:color w:val="313431"/>
                <w:sz w:val="20"/>
                <w:szCs w:val="20"/>
              </w:rPr>
            </w:pPr>
            <w:r>
              <w:rPr>
                <w:rFonts w:asciiTheme="majorHAnsi" w:hAnsiTheme="majorHAnsi" w:cs="Arial"/>
                <w:color w:val="313431"/>
                <w:sz w:val="20"/>
                <w:szCs w:val="20"/>
              </w:rPr>
              <w:t>282</w:t>
            </w:r>
          </w:p>
        </w:tc>
        <w:tc>
          <w:tcPr>
            <w:tcW w:w="2562" w:type="dxa"/>
          </w:tcPr>
          <w:p w14:paraId="523211B8" w14:textId="12645751" w:rsidR="002C6E84" w:rsidRPr="0050405F" w:rsidRDefault="002C6E84" w:rsidP="00AA5525">
            <w:pPr>
              <w:widowControl w:val="0"/>
              <w:autoSpaceDE w:val="0"/>
              <w:autoSpaceDN w:val="0"/>
              <w:adjustRightInd w:val="0"/>
              <w:rPr>
                <w:rFonts w:asciiTheme="majorHAnsi" w:hAnsiTheme="majorHAnsi"/>
                <w:sz w:val="20"/>
                <w:szCs w:val="20"/>
              </w:rPr>
            </w:pPr>
            <w:r>
              <w:rPr>
                <w:rFonts w:asciiTheme="majorHAnsi" w:hAnsiTheme="majorHAnsi"/>
                <w:sz w:val="20"/>
                <w:szCs w:val="20"/>
              </w:rPr>
              <w:t>Dementia: Functional Status Assessment</w:t>
            </w:r>
          </w:p>
        </w:tc>
        <w:tc>
          <w:tcPr>
            <w:tcW w:w="3239" w:type="dxa"/>
          </w:tcPr>
          <w:p w14:paraId="65DEAF09" w14:textId="3A2BBF43"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sidRPr="00240DAD">
              <w:rPr>
                <w:rFonts w:asciiTheme="majorHAnsi" w:hAnsiTheme="majorHAnsi" w:cs="Arial Narrow"/>
                <w:color w:val="000000"/>
                <w:sz w:val="20"/>
                <w:szCs w:val="20"/>
              </w:rPr>
              <w:t>Percentage of patients, regardless of age, with a diagnosis of dementia for whom an assessment of functional status is performed and the results reviewed at least once within a 12 month period</w:t>
            </w:r>
          </w:p>
        </w:tc>
        <w:tc>
          <w:tcPr>
            <w:tcW w:w="1599" w:type="dxa"/>
          </w:tcPr>
          <w:p w14:paraId="2AEDDB64" w14:textId="4BA06E61"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Effective Clinical Care</w:t>
            </w:r>
          </w:p>
        </w:tc>
        <w:tc>
          <w:tcPr>
            <w:tcW w:w="1463" w:type="dxa"/>
          </w:tcPr>
          <w:p w14:paraId="02064D1F" w14:textId="3DC02FD1" w:rsidR="002C6E84" w:rsidRPr="0050405F" w:rsidRDefault="00240DAD" w:rsidP="00AC697B">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Measure Group</w:t>
            </w:r>
          </w:p>
        </w:tc>
      </w:tr>
      <w:tr w:rsidR="002C6E84" w:rsidRPr="0050405F" w14:paraId="30EFCE8C" w14:textId="77777777" w:rsidTr="002C6E84">
        <w:tc>
          <w:tcPr>
            <w:tcW w:w="713" w:type="dxa"/>
          </w:tcPr>
          <w:p w14:paraId="77EBD9A8" w14:textId="21F58CFB" w:rsidR="002C6E84" w:rsidRDefault="002C6E84" w:rsidP="00AA5525">
            <w:pPr>
              <w:widowControl w:val="0"/>
              <w:autoSpaceDE w:val="0"/>
              <w:autoSpaceDN w:val="0"/>
              <w:adjustRightInd w:val="0"/>
              <w:rPr>
                <w:rFonts w:asciiTheme="majorHAnsi" w:hAnsiTheme="majorHAnsi" w:cs="Arial"/>
                <w:color w:val="313431"/>
                <w:sz w:val="20"/>
                <w:szCs w:val="20"/>
              </w:rPr>
            </w:pPr>
            <w:r>
              <w:rPr>
                <w:rFonts w:asciiTheme="majorHAnsi" w:hAnsiTheme="majorHAnsi" w:cs="Arial"/>
                <w:color w:val="313431"/>
                <w:sz w:val="20"/>
                <w:szCs w:val="20"/>
              </w:rPr>
              <w:lastRenderedPageBreak/>
              <w:t>283</w:t>
            </w:r>
          </w:p>
        </w:tc>
        <w:tc>
          <w:tcPr>
            <w:tcW w:w="2562" w:type="dxa"/>
          </w:tcPr>
          <w:p w14:paraId="2E09E96F" w14:textId="4DB1B4D1" w:rsidR="002C6E84" w:rsidRDefault="002C6E84" w:rsidP="002C6E84">
            <w:pPr>
              <w:widowControl w:val="0"/>
              <w:autoSpaceDE w:val="0"/>
              <w:autoSpaceDN w:val="0"/>
              <w:adjustRightInd w:val="0"/>
              <w:rPr>
                <w:rFonts w:asciiTheme="majorHAnsi" w:hAnsiTheme="majorHAnsi"/>
                <w:sz w:val="20"/>
                <w:szCs w:val="20"/>
              </w:rPr>
            </w:pPr>
            <w:r>
              <w:rPr>
                <w:rFonts w:asciiTheme="majorHAnsi" w:hAnsiTheme="majorHAnsi"/>
                <w:sz w:val="20"/>
                <w:szCs w:val="20"/>
              </w:rPr>
              <w:t>Dementia: Neurological/Psychological Assessment</w:t>
            </w:r>
          </w:p>
        </w:tc>
        <w:tc>
          <w:tcPr>
            <w:tcW w:w="3239" w:type="dxa"/>
          </w:tcPr>
          <w:p w14:paraId="4D4D1446" w14:textId="0EC7E041"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sidRPr="00240DAD">
              <w:rPr>
                <w:rFonts w:asciiTheme="majorHAnsi" w:hAnsiTheme="majorHAnsi" w:cs="Arial Narrow"/>
                <w:color w:val="000000"/>
                <w:sz w:val="20"/>
                <w:szCs w:val="20"/>
              </w:rPr>
              <w:t>Percentage of patients, regardl</w:t>
            </w:r>
            <w:r>
              <w:rPr>
                <w:rFonts w:asciiTheme="majorHAnsi" w:hAnsiTheme="majorHAnsi" w:cs="Arial Narrow"/>
                <w:color w:val="000000"/>
                <w:sz w:val="20"/>
                <w:szCs w:val="20"/>
              </w:rPr>
              <w:t xml:space="preserve">ess of age, with a diagnosis of </w:t>
            </w:r>
            <w:r w:rsidRPr="00240DAD">
              <w:rPr>
                <w:rFonts w:asciiTheme="majorHAnsi" w:hAnsiTheme="majorHAnsi" w:cs="Arial Narrow"/>
                <w:color w:val="000000"/>
                <w:sz w:val="20"/>
                <w:szCs w:val="20"/>
              </w:rPr>
              <w:t>dementia and for whom an assessment of  neuropsychiatric symptoms is performed and results reviewed at least once in a 12 month period</w:t>
            </w:r>
          </w:p>
        </w:tc>
        <w:tc>
          <w:tcPr>
            <w:tcW w:w="1599" w:type="dxa"/>
          </w:tcPr>
          <w:p w14:paraId="210FB02D" w14:textId="0F287DA2"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Effective Clinical Care</w:t>
            </w:r>
          </w:p>
        </w:tc>
        <w:tc>
          <w:tcPr>
            <w:tcW w:w="1463" w:type="dxa"/>
          </w:tcPr>
          <w:p w14:paraId="71E673A7" w14:textId="10F72837" w:rsidR="002C6E84" w:rsidRPr="0050405F" w:rsidRDefault="00240DAD" w:rsidP="00AC697B">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Measure Group</w:t>
            </w:r>
          </w:p>
        </w:tc>
      </w:tr>
      <w:tr w:rsidR="002C6E84" w:rsidRPr="0050405F" w14:paraId="5FA387D1" w14:textId="77777777" w:rsidTr="002C6E84">
        <w:tc>
          <w:tcPr>
            <w:tcW w:w="713" w:type="dxa"/>
          </w:tcPr>
          <w:p w14:paraId="25102B43" w14:textId="21CC7C1A" w:rsidR="002C6E84" w:rsidRDefault="002C6E84" w:rsidP="00AA5525">
            <w:pPr>
              <w:widowControl w:val="0"/>
              <w:autoSpaceDE w:val="0"/>
              <w:autoSpaceDN w:val="0"/>
              <w:adjustRightInd w:val="0"/>
              <w:rPr>
                <w:rFonts w:asciiTheme="majorHAnsi" w:hAnsiTheme="majorHAnsi" w:cs="Arial"/>
                <w:color w:val="313431"/>
                <w:sz w:val="20"/>
                <w:szCs w:val="20"/>
              </w:rPr>
            </w:pPr>
            <w:r>
              <w:rPr>
                <w:rFonts w:asciiTheme="majorHAnsi" w:hAnsiTheme="majorHAnsi" w:cs="Arial"/>
                <w:color w:val="313431"/>
                <w:sz w:val="20"/>
                <w:szCs w:val="20"/>
              </w:rPr>
              <w:t>288</w:t>
            </w:r>
          </w:p>
        </w:tc>
        <w:tc>
          <w:tcPr>
            <w:tcW w:w="2562" w:type="dxa"/>
          </w:tcPr>
          <w:p w14:paraId="78587DA2" w14:textId="186EECDB" w:rsidR="002C6E84" w:rsidRDefault="002C6E84" w:rsidP="002C6E84">
            <w:pPr>
              <w:widowControl w:val="0"/>
              <w:autoSpaceDE w:val="0"/>
              <w:autoSpaceDN w:val="0"/>
              <w:adjustRightInd w:val="0"/>
              <w:rPr>
                <w:rFonts w:asciiTheme="majorHAnsi" w:hAnsiTheme="majorHAnsi"/>
                <w:sz w:val="20"/>
                <w:szCs w:val="20"/>
              </w:rPr>
            </w:pPr>
            <w:r>
              <w:rPr>
                <w:rFonts w:asciiTheme="majorHAnsi" w:hAnsiTheme="majorHAnsi"/>
                <w:sz w:val="20"/>
                <w:szCs w:val="20"/>
              </w:rPr>
              <w:t>Dementia: Caregiver Education and Support</w:t>
            </w:r>
          </w:p>
        </w:tc>
        <w:tc>
          <w:tcPr>
            <w:tcW w:w="3239" w:type="dxa"/>
          </w:tcPr>
          <w:p w14:paraId="75D896F3" w14:textId="6ED6BBB8"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sidRPr="00240DAD">
              <w:rPr>
                <w:rFonts w:asciiTheme="majorHAnsi" w:hAnsiTheme="majorHAnsi" w:cs="Arial Narrow"/>
                <w:color w:val="000000"/>
                <w:sz w:val="20"/>
                <w:szCs w:val="20"/>
              </w:rPr>
              <w:t>Percentage of patients, regardl</w:t>
            </w:r>
            <w:r>
              <w:rPr>
                <w:rFonts w:asciiTheme="majorHAnsi" w:hAnsiTheme="majorHAnsi" w:cs="Arial Narrow"/>
                <w:color w:val="000000"/>
                <w:sz w:val="20"/>
                <w:szCs w:val="20"/>
              </w:rPr>
              <w:t xml:space="preserve">ess of age, with a diagnosis of </w:t>
            </w:r>
            <w:r w:rsidRPr="00240DAD">
              <w:rPr>
                <w:rFonts w:asciiTheme="majorHAnsi" w:hAnsiTheme="majorHAnsi" w:cs="Arial Narrow"/>
                <w:color w:val="000000"/>
                <w:sz w:val="20"/>
                <w:szCs w:val="20"/>
              </w:rPr>
              <w:t>dementia whose caregiver(s) were provided with education on dementia disease management and health behavior changes AND referred to additional sources for support within a 12 month period</w:t>
            </w:r>
          </w:p>
        </w:tc>
        <w:tc>
          <w:tcPr>
            <w:tcW w:w="1599" w:type="dxa"/>
          </w:tcPr>
          <w:p w14:paraId="1123E616" w14:textId="4B657AE5"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Communication and Care Coordination</w:t>
            </w:r>
          </w:p>
        </w:tc>
        <w:tc>
          <w:tcPr>
            <w:tcW w:w="1463" w:type="dxa"/>
          </w:tcPr>
          <w:p w14:paraId="293E8C92" w14:textId="43D22EA5" w:rsidR="002C6E84" w:rsidRPr="0050405F" w:rsidRDefault="00240DAD" w:rsidP="00AC697B">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Measure Group</w:t>
            </w:r>
          </w:p>
        </w:tc>
      </w:tr>
      <w:tr w:rsidR="002C6E84" w:rsidRPr="0050405F" w14:paraId="6A885BF6" w14:textId="77777777" w:rsidTr="002C6E84">
        <w:tc>
          <w:tcPr>
            <w:tcW w:w="713" w:type="dxa"/>
          </w:tcPr>
          <w:p w14:paraId="43FE0CE4" w14:textId="17217C2A" w:rsidR="002C6E84" w:rsidRDefault="002C6E84" w:rsidP="00AA5525">
            <w:pPr>
              <w:widowControl w:val="0"/>
              <w:autoSpaceDE w:val="0"/>
              <w:autoSpaceDN w:val="0"/>
              <w:adjustRightInd w:val="0"/>
              <w:rPr>
                <w:rFonts w:asciiTheme="majorHAnsi" w:hAnsiTheme="majorHAnsi" w:cs="Arial"/>
                <w:color w:val="313431"/>
                <w:sz w:val="20"/>
                <w:szCs w:val="20"/>
              </w:rPr>
            </w:pPr>
            <w:r>
              <w:rPr>
                <w:rFonts w:asciiTheme="majorHAnsi" w:hAnsiTheme="majorHAnsi" w:cs="Arial"/>
                <w:color w:val="313431"/>
                <w:sz w:val="20"/>
                <w:szCs w:val="20"/>
              </w:rPr>
              <w:t>318</w:t>
            </w:r>
          </w:p>
        </w:tc>
        <w:tc>
          <w:tcPr>
            <w:tcW w:w="2562" w:type="dxa"/>
          </w:tcPr>
          <w:p w14:paraId="4EC0891E" w14:textId="77777777" w:rsidR="002C6E84" w:rsidRDefault="002C6E84" w:rsidP="002C6E84">
            <w:pPr>
              <w:widowControl w:val="0"/>
              <w:autoSpaceDE w:val="0"/>
              <w:autoSpaceDN w:val="0"/>
              <w:adjustRightInd w:val="0"/>
              <w:rPr>
                <w:rFonts w:asciiTheme="majorHAnsi" w:hAnsiTheme="majorHAnsi"/>
                <w:sz w:val="20"/>
                <w:szCs w:val="20"/>
              </w:rPr>
            </w:pPr>
            <w:r>
              <w:rPr>
                <w:rFonts w:asciiTheme="majorHAnsi" w:hAnsiTheme="majorHAnsi"/>
                <w:sz w:val="20"/>
                <w:szCs w:val="20"/>
              </w:rPr>
              <w:t>Falls: Screening for Falls Risk</w:t>
            </w:r>
          </w:p>
          <w:p w14:paraId="044150F0" w14:textId="7FB5B2CA" w:rsidR="00240DAD" w:rsidRPr="00240DAD" w:rsidRDefault="00240DAD" w:rsidP="002C6E84">
            <w:pPr>
              <w:widowControl w:val="0"/>
              <w:autoSpaceDE w:val="0"/>
              <w:autoSpaceDN w:val="0"/>
              <w:adjustRightInd w:val="0"/>
              <w:rPr>
                <w:rFonts w:asciiTheme="majorHAnsi" w:hAnsiTheme="majorHAnsi"/>
                <w:i/>
                <w:sz w:val="20"/>
                <w:szCs w:val="20"/>
              </w:rPr>
            </w:pPr>
            <w:r w:rsidRPr="00240DAD">
              <w:rPr>
                <w:rFonts w:asciiTheme="majorHAnsi" w:hAnsiTheme="majorHAnsi"/>
                <w:i/>
                <w:color w:val="FF0000"/>
                <w:sz w:val="20"/>
                <w:szCs w:val="20"/>
              </w:rPr>
              <w:t>*cross-cutting measure</w:t>
            </w:r>
          </w:p>
        </w:tc>
        <w:tc>
          <w:tcPr>
            <w:tcW w:w="3239" w:type="dxa"/>
          </w:tcPr>
          <w:p w14:paraId="58CAACF3" w14:textId="01D7AABE"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sidRPr="00240DAD">
              <w:rPr>
                <w:rFonts w:asciiTheme="majorHAnsi" w:hAnsiTheme="majorHAnsi" w:cs="Arial Narrow"/>
                <w:color w:val="000000"/>
                <w:sz w:val="20"/>
                <w:szCs w:val="20"/>
              </w:rPr>
              <w:t>Percentage of patients 65 years of age and older who were screened for future fall risk at least once during the measurement period.</w:t>
            </w:r>
          </w:p>
        </w:tc>
        <w:tc>
          <w:tcPr>
            <w:tcW w:w="1599" w:type="dxa"/>
          </w:tcPr>
          <w:p w14:paraId="7259D518" w14:textId="49BDE236" w:rsidR="002C6E84" w:rsidRPr="0050405F" w:rsidRDefault="00240DAD" w:rsidP="00AA5525">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Patient Safety</w:t>
            </w:r>
          </w:p>
        </w:tc>
        <w:tc>
          <w:tcPr>
            <w:tcW w:w="1463" w:type="dxa"/>
          </w:tcPr>
          <w:p w14:paraId="7B50EC5B" w14:textId="2345FB25" w:rsidR="002C6E84" w:rsidRPr="0050405F" w:rsidRDefault="00240DAD" w:rsidP="00AC697B">
            <w:pPr>
              <w:widowControl w:val="0"/>
              <w:autoSpaceDE w:val="0"/>
              <w:autoSpaceDN w:val="0"/>
              <w:adjustRightInd w:val="0"/>
              <w:rPr>
                <w:rFonts w:asciiTheme="majorHAnsi" w:hAnsiTheme="majorHAnsi" w:cs="Arial Narrow"/>
                <w:color w:val="000000"/>
                <w:sz w:val="20"/>
                <w:szCs w:val="20"/>
              </w:rPr>
            </w:pPr>
            <w:r>
              <w:rPr>
                <w:rFonts w:asciiTheme="majorHAnsi" w:hAnsiTheme="majorHAnsi" w:cs="Arial Narrow"/>
                <w:color w:val="000000"/>
                <w:sz w:val="20"/>
                <w:szCs w:val="20"/>
              </w:rPr>
              <w:t xml:space="preserve">EHR, GPRO Web Interface </w:t>
            </w:r>
          </w:p>
        </w:tc>
      </w:tr>
      <w:tr w:rsidR="00100C83" w:rsidRPr="0050405F" w14:paraId="3E2F4692" w14:textId="77777777" w:rsidTr="002C6E84">
        <w:tc>
          <w:tcPr>
            <w:tcW w:w="713" w:type="dxa"/>
          </w:tcPr>
          <w:p w14:paraId="40EDABA5" w14:textId="0FA78EC5" w:rsidR="00100C83" w:rsidRPr="0050405F" w:rsidRDefault="00100C83" w:rsidP="00AA5525">
            <w:pPr>
              <w:widowControl w:val="0"/>
              <w:autoSpaceDE w:val="0"/>
              <w:autoSpaceDN w:val="0"/>
              <w:adjustRightInd w:val="0"/>
              <w:rPr>
                <w:rFonts w:asciiTheme="majorHAnsi" w:hAnsiTheme="majorHAnsi" w:cs="Arial"/>
                <w:color w:val="313431"/>
                <w:sz w:val="20"/>
                <w:szCs w:val="20"/>
              </w:rPr>
            </w:pPr>
            <w:r w:rsidRPr="0050405F">
              <w:rPr>
                <w:rFonts w:asciiTheme="majorHAnsi" w:hAnsiTheme="majorHAnsi" w:cs="Arial"/>
                <w:color w:val="313431"/>
                <w:sz w:val="20"/>
                <w:szCs w:val="20"/>
              </w:rPr>
              <w:t>342</w:t>
            </w:r>
          </w:p>
        </w:tc>
        <w:tc>
          <w:tcPr>
            <w:tcW w:w="2562" w:type="dxa"/>
          </w:tcPr>
          <w:p w14:paraId="3D6C7B21" w14:textId="198A5FB5" w:rsidR="00100C83" w:rsidRPr="0050405F" w:rsidRDefault="00100C83" w:rsidP="00100C83">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bCs/>
                <w:color w:val="000000"/>
                <w:sz w:val="20"/>
                <w:szCs w:val="20"/>
              </w:rPr>
              <w:t>Pain Brought Under Control within 48 Hours</w:t>
            </w:r>
          </w:p>
          <w:p w14:paraId="78DEBB05" w14:textId="77777777" w:rsidR="00100C83" w:rsidRPr="0050405F" w:rsidRDefault="00100C83" w:rsidP="00AA5525">
            <w:pPr>
              <w:widowControl w:val="0"/>
              <w:autoSpaceDE w:val="0"/>
              <w:autoSpaceDN w:val="0"/>
              <w:adjustRightInd w:val="0"/>
              <w:rPr>
                <w:rFonts w:asciiTheme="majorHAnsi" w:hAnsiTheme="majorHAnsi" w:cs="Arial Narrow"/>
                <w:bCs/>
                <w:color w:val="000000"/>
                <w:sz w:val="20"/>
                <w:szCs w:val="20"/>
              </w:rPr>
            </w:pPr>
          </w:p>
        </w:tc>
        <w:tc>
          <w:tcPr>
            <w:tcW w:w="3239" w:type="dxa"/>
          </w:tcPr>
          <w:p w14:paraId="13B9A61B" w14:textId="5DC009D1" w:rsidR="00100C83" w:rsidRPr="0050405F" w:rsidRDefault="00100C83" w:rsidP="00100C83">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Patients aged 18 and older who report being uncomfortable because of pain at the initial assessment (after admission to palliative care services) who report pain was brought to a comfortable level within 48 hours</w:t>
            </w:r>
          </w:p>
        </w:tc>
        <w:tc>
          <w:tcPr>
            <w:tcW w:w="1599" w:type="dxa"/>
          </w:tcPr>
          <w:p w14:paraId="542613E1" w14:textId="0BB4EFA6" w:rsidR="00100C83" w:rsidRPr="0050405F" w:rsidRDefault="00100C83" w:rsidP="00AC697B">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Person and Caregiver-Centered Experience and Outcomes </w:t>
            </w:r>
          </w:p>
        </w:tc>
        <w:tc>
          <w:tcPr>
            <w:tcW w:w="1463" w:type="dxa"/>
          </w:tcPr>
          <w:p w14:paraId="53D56FCF" w14:textId="125D809A" w:rsidR="00100C83" w:rsidRPr="0050405F" w:rsidRDefault="00100C83" w:rsidP="00100C83">
            <w:pPr>
              <w:widowControl w:val="0"/>
              <w:autoSpaceDE w:val="0"/>
              <w:autoSpaceDN w:val="0"/>
              <w:adjustRightInd w:val="0"/>
              <w:rPr>
                <w:rFonts w:asciiTheme="majorHAnsi" w:hAnsiTheme="majorHAnsi" w:cs="Arial Narrow"/>
                <w:color w:val="000000"/>
                <w:sz w:val="20"/>
                <w:szCs w:val="20"/>
              </w:rPr>
            </w:pPr>
            <w:r w:rsidRPr="0050405F">
              <w:rPr>
                <w:rFonts w:asciiTheme="majorHAnsi" w:hAnsiTheme="majorHAnsi" w:cs="Arial Narrow"/>
                <w:color w:val="000000"/>
                <w:sz w:val="20"/>
                <w:szCs w:val="20"/>
              </w:rPr>
              <w:t xml:space="preserve">Registry </w:t>
            </w:r>
          </w:p>
        </w:tc>
      </w:tr>
    </w:tbl>
    <w:p w14:paraId="2A08E5A6" w14:textId="6AE15DFD" w:rsidR="0042134D" w:rsidRPr="0050405F" w:rsidRDefault="0042134D" w:rsidP="00AA5525">
      <w:pPr>
        <w:widowControl w:val="0"/>
        <w:autoSpaceDE w:val="0"/>
        <w:autoSpaceDN w:val="0"/>
        <w:adjustRightInd w:val="0"/>
        <w:spacing w:line="240" w:lineRule="auto"/>
        <w:rPr>
          <w:rFonts w:asciiTheme="majorHAnsi" w:hAnsiTheme="majorHAnsi" w:cs="Arial"/>
          <w:i/>
          <w:color w:val="313431"/>
          <w:sz w:val="20"/>
          <w:szCs w:val="20"/>
        </w:rPr>
      </w:pPr>
    </w:p>
    <w:p w14:paraId="02A8736C" w14:textId="27DAEDEA" w:rsidR="00AA5525" w:rsidRPr="0050405F" w:rsidRDefault="0042134D" w:rsidP="00AA5525">
      <w:pPr>
        <w:widowControl w:val="0"/>
        <w:autoSpaceDE w:val="0"/>
        <w:autoSpaceDN w:val="0"/>
        <w:adjustRightInd w:val="0"/>
        <w:spacing w:line="240" w:lineRule="auto"/>
        <w:rPr>
          <w:rFonts w:asciiTheme="majorHAnsi" w:hAnsiTheme="majorHAnsi" w:cs="Arial"/>
          <w:b/>
          <w:color w:val="313431"/>
        </w:rPr>
      </w:pPr>
      <w:r w:rsidRPr="0050405F">
        <w:rPr>
          <w:rFonts w:asciiTheme="majorHAnsi" w:hAnsiTheme="majorHAnsi" w:cs="Arial"/>
          <w:b/>
          <w:color w:val="313431"/>
        </w:rPr>
        <w:t>4. Start Reporting</w:t>
      </w:r>
      <w:r w:rsidR="00AD678B" w:rsidRPr="0050405F">
        <w:rPr>
          <w:rFonts w:asciiTheme="majorHAnsi" w:hAnsiTheme="majorHAnsi" w:cs="Arial"/>
          <w:b/>
          <w:color w:val="313431"/>
        </w:rPr>
        <w:t xml:space="preserve"> or </w:t>
      </w:r>
      <w:r w:rsidR="00100C83" w:rsidRPr="0050405F">
        <w:rPr>
          <w:rFonts w:asciiTheme="majorHAnsi" w:hAnsiTheme="majorHAnsi" w:cs="Arial"/>
          <w:b/>
          <w:color w:val="313431"/>
        </w:rPr>
        <w:t>Register</w:t>
      </w:r>
    </w:p>
    <w:p w14:paraId="310F9C76" w14:textId="66D062FC" w:rsidR="00171FCF" w:rsidRPr="0050405F" w:rsidRDefault="00122DF6" w:rsidP="00122DF6">
      <w:pPr>
        <w:widowControl w:val="0"/>
        <w:autoSpaceDE w:val="0"/>
        <w:autoSpaceDN w:val="0"/>
        <w:adjustRightInd w:val="0"/>
        <w:spacing w:after="0" w:line="240" w:lineRule="auto"/>
        <w:rPr>
          <w:rFonts w:asciiTheme="majorHAnsi" w:hAnsiTheme="majorHAnsi"/>
        </w:rPr>
      </w:pPr>
      <w:r w:rsidRPr="0050405F">
        <w:rPr>
          <w:rFonts w:asciiTheme="majorHAnsi" w:hAnsiTheme="majorHAnsi" w:cs="Arial"/>
          <w:color w:val="000000"/>
        </w:rPr>
        <w:t xml:space="preserve">Individual physicians </w:t>
      </w:r>
      <w:r w:rsidR="00AD678B" w:rsidRPr="0050405F">
        <w:rPr>
          <w:rFonts w:asciiTheme="majorHAnsi" w:hAnsiTheme="majorHAnsi" w:cs="Arial"/>
          <w:color w:val="000000"/>
        </w:rPr>
        <w:t>DO NOT</w:t>
      </w:r>
      <w:r w:rsidRPr="0050405F">
        <w:rPr>
          <w:rFonts w:asciiTheme="majorHAnsi" w:hAnsiTheme="majorHAnsi" w:cs="Arial"/>
          <w:color w:val="000000"/>
        </w:rPr>
        <w:t xml:space="preserve"> have to register </w:t>
      </w:r>
      <w:r w:rsidR="00171FCF" w:rsidRPr="0050405F">
        <w:rPr>
          <w:rFonts w:asciiTheme="majorHAnsi" w:hAnsiTheme="majorHAnsi" w:cs="Arial"/>
          <w:color w:val="000000"/>
        </w:rPr>
        <w:t xml:space="preserve">with CMS </w:t>
      </w:r>
      <w:r w:rsidR="008160F9">
        <w:rPr>
          <w:rFonts w:asciiTheme="majorHAnsi" w:hAnsiTheme="majorHAnsi" w:cs="Arial"/>
          <w:color w:val="000000"/>
        </w:rPr>
        <w:t>to participate in the 2016</w:t>
      </w:r>
      <w:r w:rsidRPr="0050405F">
        <w:rPr>
          <w:rFonts w:asciiTheme="majorHAnsi" w:hAnsiTheme="majorHAnsi" w:cs="Arial"/>
          <w:color w:val="000000"/>
        </w:rPr>
        <w:t xml:space="preserve"> PQRS.  </w:t>
      </w:r>
      <w:r w:rsidR="0067125B" w:rsidRPr="0050405F">
        <w:rPr>
          <w:rFonts w:asciiTheme="majorHAnsi" w:hAnsiTheme="majorHAnsi" w:cs="Arial"/>
          <w:color w:val="000000"/>
        </w:rPr>
        <w:t xml:space="preserve">If using the claims-based </w:t>
      </w:r>
      <w:r w:rsidR="00171FCF" w:rsidRPr="0050405F">
        <w:rPr>
          <w:rFonts w:asciiTheme="majorHAnsi" w:hAnsiTheme="majorHAnsi" w:cs="Arial"/>
          <w:color w:val="000000"/>
        </w:rPr>
        <w:t>reporting</w:t>
      </w:r>
      <w:r w:rsidR="0067125B" w:rsidRPr="0050405F">
        <w:rPr>
          <w:rFonts w:asciiTheme="majorHAnsi" w:hAnsiTheme="majorHAnsi" w:cs="Arial"/>
          <w:color w:val="000000"/>
        </w:rPr>
        <w:t xml:space="preserve"> option</w:t>
      </w:r>
      <w:r w:rsidR="00171FCF" w:rsidRPr="0050405F">
        <w:rPr>
          <w:rFonts w:asciiTheme="majorHAnsi" w:hAnsiTheme="majorHAnsi" w:cs="Arial"/>
          <w:color w:val="000000"/>
        </w:rPr>
        <w:t>,</w:t>
      </w:r>
      <w:r w:rsidR="00171FCF" w:rsidRPr="0050405F">
        <w:rPr>
          <w:rFonts w:asciiTheme="majorHAnsi" w:hAnsiTheme="majorHAnsi"/>
        </w:rPr>
        <w:t xml:space="preserve"> simply start reporting the Quality-Data Cod</w:t>
      </w:r>
      <w:r w:rsidR="00AD678B" w:rsidRPr="0050405F">
        <w:rPr>
          <w:rFonts w:asciiTheme="majorHAnsi" w:hAnsiTheme="majorHAnsi"/>
        </w:rPr>
        <w:t>es (QDC</w:t>
      </w:r>
      <w:r w:rsidR="005A3DF8">
        <w:rPr>
          <w:rFonts w:asciiTheme="majorHAnsi" w:hAnsiTheme="majorHAnsi"/>
        </w:rPr>
        <w:t xml:space="preserve">s) listed in the specifications of the measures </w:t>
      </w:r>
      <w:r w:rsidR="00171FCF" w:rsidRPr="0050405F">
        <w:rPr>
          <w:rFonts w:asciiTheme="majorHAnsi" w:hAnsiTheme="majorHAnsi"/>
        </w:rPr>
        <w:t>you have selected on applicable Medicare Part B claims</w:t>
      </w:r>
      <w:r w:rsidR="0067125B" w:rsidRPr="0050405F">
        <w:rPr>
          <w:rFonts w:asciiTheme="majorHAnsi" w:hAnsiTheme="majorHAnsi"/>
        </w:rPr>
        <w:t>.</w:t>
      </w:r>
      <w:r w:rsidR="00A97348" w:rsidRPr="0050405F">
        <w:rPr>
          <w:rFonts w:asciiTheme="majorHAnsi" w:hAnsiTheme="majorHAnsi"/>
        </w:rPr>
        <w:t xml:space="preserve"> </w:t>
      </w:r>
      <w:r w:rsidR="0067125B" w:rsidRPr="0050405F">
        <w:rPr>
          <w:rFonts w:asciiTheme="majorHAnsi" w:hAnsiTheme="majorHAnsi"/>
        </w:rPr>
        <w:t xml:space="preserve">If using a third party entity to submit your measure data to CMS, such as a qualified registry, please check with the entity to determine whether it has its own set of registration and reporting </w:t>
      </w:r>
      <w:r w:rsidR="005A3DF8">
        <w:rPr>
          <w:rFonts w:asciiTheme="majorHAnsi" w:hAnsiTheme="majorHAnsi"/>
        </w:rPr>
        <w:t>deadlines</w:t>
      </w:r>
      <w:r w:rsidR="0067125B" w:rsidRPr="0050405F">
        <w:rPr>
          <w:rFonts w:asciiTheme="majorHAnsi" w:hAnsiTheme="majorHAnsi"/>
        </w:rPr>
        <w:t xml:space="preserve">.  </w:t>
      </w:r>
    </w:p>
    <w:p w14:paraId="22D5FFCA" w14:textId="77777777" w:rsidR="00122DF6" w:rsidRPr="0050405F" w:rsidRDefault="00122DF6" w:rsidP="00122DF6">
      <w:pPr>
        <w:widowControl w:val="0"/>
        <w:autoSpaceDE w:val="0"/>
        <w:autoSpaceDN w:val="0"/>
        <w:adjustRightInd w:val="0"/>
        <w:spacing w:after="0" w:line="240" w:lineRule="auto"/>
        <w:rPr>
          <w:rFonts w:asciiTheme="majorHAnsi" w:hAnsiTheme="majorHAnsi" w:cs="Arial"/>
          <w:color w:val="000000"/>
        </w:rPr>
      </w:pPr>
    </w:p>
    <w:p w14:paraId="73B3EF26" w14:textId="3F315DEA" w:rsidR="00122DF6" w:rsidRPr="00963FB7" w:rsidRDefault="00AD38E3" w:rsidP="00963FB7">
      <w:pPr>
        <w:pStyle w:val="Default"/>
        <w:rPr>
          <w:rFonts w:asciiTheme="majorHAnsi" w:hAnsiTheme="majorHAnsi" w:cs="Times New Roman"/>
          <w:sz w:val="22"/>
          <w:szCs w:val="22"/>
        </w:rPr>
      </w:pPr>
      <w:r>
        <w:rPr>
          <w:rFonts w:asciiTheme="majorHAnsi" w:hAnsiTheme="majorHAnsi"/>
          <w:sz w:val="22"/>
          <w:szCs w:val="22"/>
        </w:rPr>
        <w:t xml:space="preserve">Registration IS REQUIRED for the GPRO.  </w:t>
      </w:r>
      <w:r w:rsidR="00122DF6" w:rsidRPr="0050405F">
        <w:rPr>
          <w:rFonts w:asciiTheme="majorHAnsi" w:hAnsiTheme="majorHAnsi"/>
          <w:sz w:val="22"/>
          <w:szCs w:val="22"/>
        </w:rPr>
        <w:t xml:space="preserve">Group practices </w:t>
      </w:r>
      <w:r>
        <w:rPr>
          <w:rFonts w:asciiTheme="majorHAnsi" w:hAnsiTheme="majorHAnsi"/>
          <w:sz w:val="22"/>
          <w:szCs w:val="22"/>
        </w:rPr>
        <w:t>opting to</w:t>
      </w:r>
      <w:r w:rsidR="00122DF6" w:rsidRPr="0050405F">
        <w:rPr>
          <w:rFonts w:asciiTheme="majorHAnsi" w:hAnsiTheme="majorHAnsi"/>
          <w:sz w:val="22"/>
          <w:szCs w:val="22"/>
        </w:rPr>
        <w:t xml:space="preserve"> take part in </w:t>
      </w:r>
      <w:r w:rsidR="00AD678B" w:rsidRPr="0050405F">
        <w:rPr>
          <w:rFonts w:asciiTheme="majorHAnsi" w:hAnsiTheme="majorHAnsi"/>
          <w:sz w:val="22"/>
          <w:szCs w:val="22"/>
        </w:rPr>
        <w:t xml:space="preserve">the </w:t>
      </w:r>
      <w:r w:rsidR="008160F9">
        <w:rPr>
          <w:rFonts w:asciiTheme="majorHAnsi" w:hAnsiTheme="majorHAnsi"/>
          <w:sz w:val="22"/>
          <w:szCs w:val="22"/>
        </w:rPr>
        <w:t>PQRS GPRO for the 2016</w:t>
      </w:r>
      <w:r w:rsidR="00122DF6" w:rsidRPr="0050405F">
        <w:rPr>
          <w:rFonts w:asciiTheme="majorHAnsi" w:hAnsiTheme="majorHAnsi"/>
          <w:sz w:val="22"/>
          <w:szCs w:val="22"/>
        </w:rPr>
        <w:t xml:space="preserve"> reporting year </w:t>
      </w:r>
      <w:r w:rsidR="008160F9">
        <w:rPr>
          <w:rFonts w:asciiTheme="majorHAnsi" w:hAnsiTheme="majorHAnsi"/>
          <w:sz w:val="22"/>
          <w:szCs w:val="22"/>
        </w:rPr>
        <w:t>had to have</w:t>
      </w:r>
      <w:r w:rsidR="00122DF6" w:rsidRPr="0050405F">
        <w:rPr>
          <w:rFonts w:asciiTheme="majorHAnsi" w:hAnsiTheme="majorHAnsi"/>
          <w:b/>
          <w:sz w:val="22"/>
          <w:szCs w:val="22"/>
        </w:rPr>
        <w:t xml:space="preserve"> register</w:t>
      </w:r>
      <w:r w:rsidR="008160F9">
        <w:rPr>
          <w:rFonts w:asciiTheme="majorHAnsi" w:hAnsiTheme="majorHAnsi"/>
          <w:b/>
          <w:sz w:val="22"/>
          <w:szCs w:val="22"/>
        </w:rPr>
        <w:t>ed</w:t>
      </w:r>
      <w:r w:rsidR="00122DF6" w:rsidRPr="0050405F">
        <w:rPr>
          <w:rFonts w:asciiTheme="majorHAnsi" w:hAnsiTheme="majorHAnsi"/>
          <w:b/>
          <w:sz w:val="22"/>
          <w:szCs w:val="22"/>
        </w:rPr>
        <w:t xml:space="preserve"> </w:t>
      </w:r>
      <w:r w:rsidR="00122DF6" w:rsidRPr="00310310">
        <w:rPr>
          <w:rFonts w:asciiTheme="majorHAnsi" w:hAnsiTheme="majorHAnsi"/>
          <w:b/>
          <w:sz w:val="22"/>
          <w:szCs w:val="22"/>
          <w:u w:val="single"/>
        </w:rPr>
        <w:t>by</w:t>
      </w:r>
      <w:r w:rsidR="00310310" w:rsidRPr="00310310">
        <w:rPr>
          <w:rFonts w:asciiTheme="majorHAnsi" w:hAnsiTheme="majorHAnsi"/>
          <w:b/>
          <w:sz w:val="22"/>
          <w:szCs w:val="22"/>
          <w:u w:val="single"/>
        </w:rPr>
        <w:t xml:space="preserve"> June</w:t>
      </w:r>
      <w:r w:rsidR="00122DF6" w:rsidRPr="00310310">
        <w:rPr>
          <w:rFonts w:asciiTheme="majorHAnsi" w:hAnsiTheme="majorHAnsi"/>
          <w:b/>
          <w:sz w:val="22"/>
          <w:szCs w:val="22"/>
          <w:u w:val="single"/>
        </w:rPr>
        <w:t xml:space="preserve"> 30,</w:t>
      </w:r>
      <w:r w:rsidR="008160F9">
        <w:rPr>
          <w:rFonts w:asciiTheme="majorHAnsi" w:hAnsiTheme="majorHAnsi"/>
          <w:b/>
          <w:sz w:val="22"/>
          <w:szCs w:val="22"/>
          <w:u w:val="single"/>
        </w:rPr>
        <w:t xml:space="preserve"> 2016.</w:t>
      </w:r>
      <w:r w:rsidR="00963FB7">
        <w:rPr>
          <w:rFonts w:asciiTheme="majorHAnsi" w:hAnsiTheme="majorHAnsi"/>
          <w:sz w:val="22"/>
          <w:szCs w:val="22"/>
        </w:rPr>
        <w:t xml:space="preserve"> </w:t>
      </w:r>
      <w:r w:rsidR="008160F9">
        <w:rPr>
          <w:rFonts w:asciiTheme="majorHAnsi" w:hAnsiTheme="majorHAnsi"/>
          <w:sz w:val="22"/>
          <w:szCs w:val="22"/>
        </w:rPr>
        <w:t>Once a group has</w:t>
      </w:r>
      <w:r w:rsidR="00122DF6" w:rsidRPr="0050405F">
        <w:rPr>
          <w:rFonts w:asciiTheme="majorHAnsi" w:hAnsiTheme="majorHAnsi"/>
          <w:sz w:val="22"/>
          <w:szCs w:val="22"/>
        </w:rPr>
        <w:t xml:space="preserve"> registered for </w:t>
      </w:r>
      <w:r w:rsidR="00963FB7">
        <w:rPr>
          <w:rFonts w:asciiTheme="majorHAnsi" w:hAnsiTheme="majorHAnsi"/>
          <w:sz w:val="22"/>
          <w:szCs w:val="22"/>
        </w:rPr>
        <w:t>the 201</w:t>
      </w:r>
      <w:r w:rsidR="008160F9">
        <w:rPr>
          <w:rFonts w:asciiTheme="majorHAnsi" w:hAnsiTheme="majorHAnsi"/>
          <w:sz w:val="22"/>
          <w:szCs w:val="22"/>
        </w:rPr>
        <w:t>6</w:t>
      </w:r>
      <w:r w:rsidR="00963FB7">
        <w:rPr>
          <w:rFonts w:asciiTheme="majorHAnsi" w:hAnsiTheme="majorHAnsi"/>
          <w:sz w:val="22"/>
          <w:szCs w:val="22"/>
        </w:rPr>
        <w:t xml:space="preserve"> GPRO</w:t>
      </w:r>
      <w:r w:rsidR="00122DF6" w:rsidRPr="0050405F">
        <w:rPr>
          <w:rFonts w:asciiTheme="majorHAnsi" w:hAnsiTheme="majorHAnsi"/>
          <w:sz w:val="22"/>
          <w:szCs w:val="22"/>
        </w:rPr>
        <w:t>, the group will not be able to withdraw its registration.</w:t>
      </w:r>
      <w:r w:rsidR="00885696" w:rsidRPr="0050405F">
        <w:rPr>
          <w:rFonts w:asciiTheme="majorHAnsi" w:hAnsiTheme="majorHAnsi"/>
          <w:sz w:val="22"/>
          <w:szCs w:val="22"/>
        </w:rPr>
        <w:t xml:space="preserve"> </w:t>
      </w:r>
      <w:r w:rsidR="00310310">
        <w:rPr>
          <w:rFonts w:asciiTheme="majorHAnsi" w:hAnsiTheme="majorHAnsi"/>
          <w:sz w:val="22"/>
          <w:szCs w:val="22"/>
        </w:rPr>
        <w:t xml:space="preserve"> </w:t>
      </w:r>
      <w:r w:rsidR="00963FB7">
        <w:rPr>
          <w:rFonts w:asciiTheme="majorHAnsi" w:hAnsiTheme="majorHAnsi"/>
          <w:sz w:val="22"/>
          <w:szCs w:val="22"/>
        </w:rPr>
        <w:t>Also, i</w:t>
      </w:r>
      <w:r w:rsidR="00310310">
        <w:rPr>
          <w:rFonts w:asciiTheme="majorHAnsi" w:hAnsiTheme="majorHAnsi"/>
          <w:sz w:val="22"/>
          <w:szCs w:val="22"/>
        </w:rPr>
        <w:t xml:space="preserve">f a group practice registers for GPRO, its member EPs cannot also participate in the PQRS as individuals.  </w:t>
      </w:r>
    </w:p>
    <w:p w14:paraId="67D102D7" w14:textId="77777777" w:rsidR="00AA5525" w:rsidRPr="0050405F" w:rsidRDefault="00AA5525" w:rsidP="00AA5525">
      <w:pPr>
        <w:widowControl w:val="0"/>
        <w:tabs>
          <w:tab w:val="left" w:pos="220"/>
          <w:tab w:val="left" w:pos="720"/>
        </w:tabs>
        <w:autoSpaceDE w:val="0"/>
        <w:autoSpaceDN w:val="0"/>
        <w:adjustRightInd w:val="0"/>
        <w:spacing w:after="0" w:line="240" w:lineRule="auto"/>
        <w:rPr>
          <w:rFonts w:asciiTheme="majorHAnsi" w:hAnsiTheme="majorHAnsi" w:cs="Arial"/>
          <w:color w:val="313431"/>
        </w:rPr>
      </w:pPr>
    </w:p>
    <w:p w14:paraId="7CDC747A" w14:textId="142D5704" w:rsidR="00B4581F" w:rsidRDefault="00F620A6" w:rsidP="00367585">
      <w:pPr>
        <w:pStyle w:val="Heading2"/>
      </w:pPr>
      <w:r>
        <w:t>Additional Resources</w:t>
      </w:r>
    </w:p>
    <w:p w14:paraId="716F8AA5" w14:textId="74E54A75" w:rsidR="00FA6B36" w:rsidRPr="00C132B1" w:rsidRDefault="00F620A6" w:rsidP="00C132B1">
      <w:pPr>
        <w:rPr>
          <w:rFonts w:asciiTheme="majorHAnsi" w:hAnsiTheme="majorHAnsi" w:cs="Arial"/>
          <w:b/>
        </w:rPr>
      </w:pPr>
      <w:r w:rsidRPr="0050405F">
        <w:rPr>
          <w:rFonts w:asciiTheme="majorHAnsi" w:hAnsiTheme="majorHAnsi" w:cs="Arial"/>
          <w:color w:val="313431"/>
        </w:rPr>
        <w:t xml:space="preserve">CMS’ </w:t>
      </w:r>
      <w:hyperlink r:id="rId16" w:history="1">
        <w:r w:rsidR="008160F9" w:rsidRPr="008160F9">
          <w:rPr>
            <w:rStyle w:val="Hyperlink"/>
            <w:rFonts w:asciiTheme="majorHAnsi" w:hAnsiTheme="majorHAnsi" w:cs="Arial"/>
          </w:rPr>
          <w:t>2016</w:t>
        </w:r>
        <w:r w:rsidRPr="008160F9">
          <w:rPr>
            <w:rStyle w:val="Hyperlink"/>
            <w:rFonts w:asciiTheme="majorHAnsi" w:hAnsiTheme="majorHAnsi" w:cs="Arial"/>
          </w:rPr>
          <w:t xml:space="preserve"> PQRS Implementation Guide</w:t>
        </w:r>
      </w:hyperlink>
      <w:r w:rsidR="00422E59">
        <w:rPr>
          <w:rFonts w:asciiTheme="majorHAnsi" w:hAnsiTheme="majorHAnsi" w:cs="Arial"/>
          <w:b/>
        </w:rPr>
        <w:t xml:space="preserve"> </w:t>
      </w:r>
      <w:r w:rsidR="00422E59" w:rsidRPr="00422E59">
        <w:rPr>
          <w:rFonts w:asciiTheme="majorHAnsi" w:hAnsiTheme="majorHAnsi" w:cs="Arial"/>
        </w:rPr>
        <w:t>provides a comprehensive overview of the PQRS, including guidance on how to select measures, how to read and understand measure specifications, and the various repo</w:t>
      </w:r>
      <w:r w:rsidR="008160F9">
        <w:rPr>
          <w:rFonts w:asciiTheme="majorHAnsi" w:hAnsiTheme="majorHAnsi" w:cs="Arial"/>
        </w:rPr>
        <w:t>rting methods available for 2016</w:t>
      </w:r>
      <w:r w:rsidR="00422E59" w:rsidRPr="00422E59">
        <w:rPr>
          <w:rFonts w:asciiTheme="majorHAnsi" w:hAnsiTheme="majorHAnsi" w:cs="Arial"/>
        </w:rPr>
        <w:t>.</w:t>
      </w:r>
      <w:r>
        <w:rPr>
          <w:rFonts w:asciiTheme="majorHAnsi" w:hAnsiTheme="majorHAnsi" w:cs="Arial"/>
          <w:b/>
        </w:rPr>
        <w:t xml:space="preserve"> </w:t>
      </w:r>
      <w:r w:rsidR="00254C1E">
        <w:rPr>
          <w:rFonts w:asciiTheme="majorHAnsi" w:hAnsiTheme="majorHAnsi" w:cs="Arial"/>
          <w:b/>
        </w:rPr>
        <w:t xml:space="preserve"> </w:t>
      </w:r>
      <w:r w:rsidR="00422E59">
        <w:rPr>
          <w:rFonts w:asciiTheme="majorHAnsi" w:hAnsiTheme="majorHAnsi" w:cs="Arial"/>
        </w:rPr>
        <w:t>You are also encouraged</w:t>
      </w:r>
      <w:r w:rsidR="00254C1E">
        <w:rPr>
          <w:rFonts w:asciiTheme="majorHAnsi" w:hAnsiTheme="majorHAnsi" w:cs="Arial"/>
        </w:rPr>
        <w:t xml:space="preserve"> to visit the </w:t>
      </w:r>
      <w:hyperlink r:id="rId17" w:history="1">
        <w:r w:rsidR="00254C1E" w:rsidRPr="00422E59">
          <w:rPr>
            <w:rStyle w:val="Hyperlink"/>
            <w:rFonts w:asciiTheme="majorHAnsi" w:hAnsiTheme="majorHAnsi" w:cs="Arial"/>
          </w:rPr>
          <w:t>CMS website</w:t>
        </w:r>
      </w:hyperlink>
      <w:r w:rsidR="00422E59">
        <w:rPr>
          <w:rFonts w:asciiTheme="majorHAnsi" w:hAnsiTheme="majorHAnsi" w:cs="Arial"/>
        </w:rPr>
        <w:t xml:space="preserve"> regular updates</w:t>
      </w:r>
      <w:r w:rsidR="008160F9">
        <w:rPr>
          <w:rFonts w:asciiTheme="majorHAnsi" w:hAnsiTheme="majorHAnsi" w:cs="Arial"/>
        </w:rPr>
        <w:t xml:space="preserve"> and additional resources</w:t>
      </w:r>
      <w:r w:rsidR="00422E59">
        <w:rPr>
          <w:rFonts w:asciiTheme="majorHAnsi" w:hAnsiTheme="majorHAnsi" w:cs="Arial"/>
        </w:rPr>
        <w:t xml:space="preserve">.  </w:t>
      </w:r>
    </w:p>
    <w:p w14:paraId="0030986D" w14:textId="702BD0F2" w:rsidR="00367585" w:rsidRPr="00367585" w:rsidRDefault="00FA6B36" w:rsidP="00367585">
      <w:pPr>
        <w:pStyle w:val="Heading2"/>
      </w:pPr>
      <w:bookmarkStart w:id="1" w:name="Graphs"/>
      <w:bookmarkEnd w:id="1"/>
      <w:r>
        <w:lastRenderedPageBreak/>
        <w:t>2016</w:t>
      </w:r>
      <w:r w:rsidR="009561D2">
        <w:t xml:space="preserve"> </w:t>
      </w:r>
      <w:r w:rsidR="00367585">
        <w:t xml:space="preserve">PQRS Reporting Options </w:t>
      </w:r>
      <w:r w:rsidR="009561D2">
        <w:t>to Avoid a Penalty if Participating as an Individual</w:t>
      </w:r>
      <w:r w:rsidR="00367585">
        <w:t xml:space="preserve"> </w:t>
      </w:r>
    </w:p>
    <w:tbl>
      <w:tblPr>
        <w:tblpPr w:leftFromText="180" w:rightFromText="180" w:vertAnchor="text" w:horzAnchor="page" w:tblpX="135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124"/>
        <w:gridCol w:w="1350"/>
        <w:gridCol w:w="5328"/>
      </w:tblGrid>
      <w:tr w:rsidR="00367585" w:rsidRPr="00931A71" w14:paraId="3809C972" w14:textId="77777777" w:rsidTr="000C082F">
        <w:tc>
          <w:tcPr>
            <w:tcW w:w="1476" w:type="dxa"/>
            <w:shd w:val="clear" w:color="auto" w:fill="C6D9F1" w:themeFill="text2" w:themeFillTint="33"/>
            <w:vAlign w:val="center"/>
          </w:tcPr>
          <w:p w14:paraId="63543755"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Reporting</w:t>
            </w:r>
          </w:p>
          <w:p w14:paraId="30DB9864"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Period</w:t>
            </w:r>
          </w:p>
        </w:tc>
        <w:tc>
          <w:tcPr>
            <w:tcW w:w="1124" w:type="dxa"/>
            <w:shd w:val="clear" w:color="auto" w:fill="C6D9F1" w:themeFill="text2" w:themeFillTint="33"/>
            <w:vAlign w:val="center"/>
          </w:tcPr>
          <w:p w14:paraId="7371F464"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Measure</w:t>
            </w:r>
          </w:p>
          <w:p w14:paraId="75B985C7"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Type</w:t>
            </w:r>
          </w:p>
        </w:tc>
        <w:tc>
          <w:tcPr>
            <w:tcW w:w="1350" w:type="dxa"/>
            <w:shd w:val="clear" w:color="auto" w:fill="C6D9F1" w:themeFill="text2" w:themeFillTint="33"/>
            <w:vAlign w:val="center"/>
          </w:tcPr>
          <w:p w14:paraId="694E2165"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Reporting</w:t>
            </w:r>
          </w:p>
          <w:p w14:paraId="75641480"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Mechanism</w:t>
            </w:r>
          </w:p>
        </w:tc>
        <w:tc>
          <w:tcPr>
            <w:tcW w:w="5328" w:type="dxa"/>
            <w:shd w:val="clear" w:color="auto" w:fill="C6D9F1" w:themeFill="text2" w:themeFillTint="33"/>
            <w:vAlign w:val="center"/>
          </w:tcPr>
          <w:p w14:paraId="1B737986" w14:textId="77777777" w:rsidR="00367585" w:rsidRPr="00C41C5E" w:rsidRDefault="00367585" w:rsidP="00B14112">
            <w:pPr>
              <w:pStyle w:val="NoSpacing"/>
              <w:jc w:val="center"/>
              <w:rPr>
                <w:rFonts w:asciiTheme="majorHAnsi" w:hAnsiTheme="majorHAnsi"/>
                <w:b/>
                <w:sz w:val="20"/>
                <w:szCs w:val="20"/>
              </w:rPr>
            </w:pPr>
            <w:r w:rsidRPr="00C41C5E">
              <w:rPr>
                <w:rFonts w:asciiTheme="majorHAnsi" w:hAnsiTheme="majorHAnsi"/>
                <w:b/>
                <w:sz w:val="20"/>
                <w:szCs w:val="20"/>
              </w:rPr>
              <w:t>Satisfactory Reporting Criteria</w:t>
            </w:r>
          </w:p>
        </w:tc>
      </w:tr>
      <w:tr w:rsidR="00367585" w:rsidRPr="00931A71" w14:paraId="0EBEFCD7" w14:textId="77777777" w:rsidTr="000C082F">
        <w:tc>
          <w:tcPr>
            <w:tcW w:w="1476" w:type="dxa"/>
            <w:shd w:val="clear" w:color="auto" w:fill="auto"/>
          </w:tcPr>
          <w:p w14:paraId="6A81E3FE"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12-month</w:t>
            </w:r>
          </w:p>
          <w:p w14:paraId="14146F5A"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(Jan 1 —</w:t>
            </w:r>
          </w:p>
          <w:p w14:paraId="6F008EA2" w14:textId="290005D3"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Dec 31</w:t>
            </w:r>
            <w:r w:rsidR="006C65F0">
              <w:rPr>
                <w:rFonts w:asciiTheme="majorHAnsi" w:hAnsiTheme="majorHAnsi"/>
                <w:sz w:val="20"/>
                <w:szCs w:val="20"/>
              </w:rPr>
              <w:t>,</w:t>
            </w:r>
            <w:r w:rsidR="00FA6B36">
              <w:rPr>
                <w:rFonts w:asciiTheme="majorHAnsi" w:hAnsiTheme="majorHAnsi"/>
                <w:sz w:val="20"/>
                <w:szCs w:val="20"/>
              </w:rPr>
              <w:t xml:space="preserve"> 2016</w:t>
            </w:r>
            <w:r w:rsidRPr="00931A71">
              <w:rPr>
                <w:rFonts w:asciiTheme="majorHAnsi" w:hAnsiTheme="majorHAnsi"/>
                <w:sz w:val="20"/>
                <w:szCs w:val="20"/>
              </w:rPr>
              <w:t>)</w:t>
            </w:r>
          </w:p>
          <w:p w14:paraId="036CCCE0" w14:textId="77777777" w:rsidR="00367585" w:rsidRPr="00931A71" w:rsidRDefault="00367585" w:rsidP="00367585">
            <w:pPr>
              <w:pStyle w:val="NoSpacing"/>
              <w:rPr>
                <w:rFonts w:asciiTheme="majorHAnsi" w:hAnsiTheme="majorHAnsi"/>
                <w:sz w:val="20"/>
                <w:szCs w:val="20"/>
              </w:rPr>
            </w:pPr>
          </w:p>
        </w:tc>
        <w:tc>
          <w:tcPr>
            <w:tcW w:w="1124" w:type="dxa"/>
            <w:shd w:val="clear" w:color="auto" w:fill="auto"/>
          </w:tcPr>
          <w:p w14:paraId="7FFC4FC3"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Individual</w:t>
            </w:r>
          </w:p>
          <w:p w14:paraId="0D8CFA5B"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Measures</w:t>
            </w:r>
          </w:p>
          <w:p w14:paraId="746D3B1D" w14:textId="77777777" w:rsidR="00367585" w:rsidRPr="00931A71" w:rsidRDefault="00367585" w:rsidP="00367585">
            <w:pPr>
              <w:pStyle w:val="NoSpacing"/>
              <w:rPr>
                <w:rFonts w:asciiTheme="majorHAnsi" w:hAnsiTheme="majorHAnsi"/>
                <w:sz w:val="20"/>
                <w:szCs w:val="20"/>
              </w:rPr>
            </w:pPr>
          </w:p>
        </w:tc>
        <w:tc>
          <w:tcPr>
            <w:tcW w:w="1350" w:type="dxa"/>
            <w:shd w:val="clear" w:color="auto" w:fill="auto"/>
          </w:tcPr>
          <w:p w14:paraId="1D81C15F"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Claims</w:t>
            </w:r>
          </w:p>
        </w:tc>
        <w:tc>
          <w:tcPr>
            <w:tcW w:w="5328" w:type="dxa"/>
            <w:shd w:val="clear" w:color="auto" w:fill="auto"/>
          </w:tcPr>
          <w:p w14:paraId="6AD8804D" w14:textId="64CF0E32" w:rsidR="00367585" w:rsidRPr="00931A71" w:rsidRDefault="00367585" w:rsidP="00B14112">
            <w:pPr>
              <w:pStyle w:val="NoSpacing"/>
              <w:rPr>
                <w:rFonts w:asciiTheme="majorHAnsi" w:hAnsiTheme="majorHAnsi"/>
                <w:sz w:val="20"/>
                <w:szCs w:val="20"/>
              </w:rPr>
            </w:pPr>
            <w:r w:rsidRPr="00931A71">
              <w:rPr>
                <w:rFonts w:asciiTheme="majorHAnsi" w:hAnsiTheme="majorHAnsi"/>
                <w:sz w:val="20"/>
                <w:szCs w:val="20"/>
              </w:rPr>
              <w:t>Report at least 9 measures covering at least 3 N</w:t>
            </w:r>
            <w:r w:rsidR="00A00AAD">
              <w:rPr>
                <w:rFonts w:asciiTheme="majorHAnsi" w:hAnsiTheme="majorHAnsi"/>
                <w:sz w:val="20"/>
                <w:szCs w:val="20"/>
              </w:rPr>
              <w:t xml:space="preserve">ational </w:t>
            </w:r>
            <w:r w:rsidRPr="00931A71">
              <w:rPr>
                <w:rFonts w:asciiTheme="majorHAnsi" w:hAnsiTheme="majorHAnsi"/>
                <w:sz w:val="20"/>
                <w:szCs w:val="20"/>
              </w:rPr>
              <w:t>Q</w:t>
            </w:r>
            <w:r w:rsidR="00A00AAD">
              <w:rPr>
                <w:rFonts w:asciiTheme="majorHAnsi" w:hAnsiTheme="majorHAnsi"/>
                <w:sz w:val="20"/>
                <w:szCs w:val="20"/>
              </w:rPr>
              <w:t xml:space="preserve">uality </w:t>
            </w:r>
            <w:r w:rsidRPr="00931A71">
              <w:rPr>
                <w:rFonts w:asciiTheme="majorHAnsi" w:hAnsiTheme="majorHAnsi"/>
                <w:sz w:val="20"/>
                <w:szCs w:val="20"/>
              </w:rPr>
              <w:t>S</w:t>
            </w:r>
            <w:r w:rsidR="00A00AAD">
              <w:rPr>
                <w:rFonts w:asciiTheme="majorHAnsi" w:hAnsiTheme="majorHAnsi"/>
                <w:sz w:val="20"/>
                <w:szCs w:val="20"/>
              </w:rPr>
              <w:t>trategy (NQS)</w:t>
            </w:r>
            <w:r w:rsidRPr="00931A71">
              <w:rPr>
                <w:rFonts w:asciiTheme="majorHAnsi" w:hAnsiTheme="majorHAnsi"/>
                <w:sz w:val="20"/>
                <w:szCs w:val="20"/>
              </w:rPr>
              <w:t xml:space="preserve"> domains,</w:t>
            </w:r>
            <w:r w:rsidR="006C65F0" w:rsidRPr="006C65F0">
              <w:rPr>
                <w:rFonts w:asciiTheme="majorHAnsi" w:hAnsiTheme="majorHAnsi"/>
                <w:sz w:val="20"/>
                <w:szCs w:val="20"/>
                <w:vertAlign w:val="superscript"/>
              </w:rPr>
              <w:t>*</w:t>
            </w:r>
            <w:r w:rsidRPr="00931A71">
              <w:rPr>
                <w:rFonts w:asciiTheme="majorHAnsi" w:hAnsiTheme="majorHAnsi"/>
                <w:sz w:val="20"/>
                <w:szCs w:val="20"/>
              </w:rPr>
              <w:t xml:space="preserve"> including 1 cross-cutting measure, AND report each measure for at least 50% of the Medicare Part B FFS patients seen during the reporting period to which the measure applies. </w:t>
            </w:r>
            <w:r w:rsidR="00FA6B36">
              <w:rPr>
                <w:rFonts w:asciiTheme="majorHAnsi" w:hAnsiTheme="majorHAnsi"/>
                <w:sz w:val="20"/>
                <w:szCs w:val="20"/>
              </w:rPr>
              <w:t xml:space="preserve"> </w:t>
            </w:r>
            <w:r w:rsidRPr="00931A71">
              <w:rPr>
                <w:rFonts w:asciiTheme="majorHAnsi" w:hAnsiTheme="majorHAnsi"/>
                <w:sz w:val="20"/>
                <w:szCs w:val="20"/>
              </w:rPr>
              <w:t>If less than 9 measures apply, report 1-8 measures covering 1-3 NQS domains, but subject to Measures Applicability Validation (MAV)</w:t>
            </w:r>
            <w:r w:rsidR="00B14112">
              <w:rPr>
                <w:rFonts w:asciiTheme="majorHAnsi" w:hAnsiTheme="majorHAnsi"/>
                <w:sz w:val="20"/>
                <w:szCs w:val="20"/>
              </w:rPr>
              <w:t xml:space="preserve"> process</w:t>
            </w:r>
            <w:proofErr w:type="gramStart"/>
            <w:r w:rsidRPr="00931A71">
              <w:rPr>
                <w:rFonts w:asciiTheme="majorHAnsi" w:hAnsiTheme="majorHAnsi"/>
                <w:sz w:val="20"/>
                <w:szCs w:val="20"/>
              </w:rPr>
              <w:t>.</w:t>
            </w:r>
            <w:r w:rsidR="006C65F0" w:rsidRPr="006C65F0">
              <w:rPr>
                <w:rFonts w:asciiTheme="majorHAnsi" w:hAnsiTheme="majorHAnsi"/>
                <w:sz w:val="20"/>
                <w:szCs w:val="20"/>
                <w:vertAlign w:val="superscript"/>
              </w:rPr>
              <w:t>+</w:t>
            </w:r>
            <w:proofErr w:type="gramEnd"/>
            <w:r w:rsidRPr="00931A71">
              <w:rPr>
                <w:rFonts w:asciiTheme="majorHAnsi" w:hAnsiTheme="majorHAnsi"/>
                <w:sz w:val="20"/>
                <w:szCs w:val="20"/>
              </w:rPr>
              <w:t xml:space="preserve"> </w:t>
            </w:r>
            <w:r w:rsidRPr="00931A71">
              <w:rPr>
                <w:rFonts w:asciiTheme="majorHAnsi" w:hAnsiTheme="majorHAnsi"/>
                <w:spacing w:val="-1"/>
                <w:sz w:val="20"/>
                <w:szCs w:val="20"/>
              </w:rPr>
              <w:t>Measures with a 0 performance</w:t>
            </w:r>
            <w:r w:rsidRPr="00931A71">
              <w:rPr>
                <w:rFonts w:asciiTheme="majorHAnsi" w:hAnsiTheme="majorHAnsi"/>
                <w:spacing w:val="-11"/>
                <w:sz w:val="20"/>
                <w:szCs w:val="20"/>
              </w:rPr>
              <w:t xml:space="preserve"> </w:t>
            </w:r>
            <w:r w:rsidRPr="00931A71">
              <w:rPr>
                <w:rFonts w:asciiTheme="majorHAnsi" w:hAnsiTheme="majorHAnsi"/>
                <w:spacing w:val="-1"/>
                <w:sz w:val="20"/>
                <w:szCs w:val="20"/>
              </w:rPr>
              <w:t>rate</w:t>
            </w:r>
            <w:r w:rsidRPr="00931A71">
              <w:rPr>
                <w:rFonts w:asciiTheme="majorHAnsi" w:hAnsiTheme="majorHAnsi"/>
                <w:sz w:val="20"/>
                <w:szCs w:val="20"/>
              </w:rPr>
              <w:t xml:space="preserve"> </w:t>
            </w:r>
            <w:r w:rsidRPr="00931A71">
              <w:rPr>
                <w:rFonts w:asciiTheme="majorHAnsi" w:hAnsiTheme="majorHAnsi"/>
                <w:spacing w:val="-1"/>
                <w:sz w:val="20"/>
                <w:szCs w:val="20"/>
              </w:rPr>
              <w:t>will not</w:t>
            </w:r>
            <w:r w:rsidRPr="00931A71">
              <w:rPr>
                <w:rFonts w:asciiTheme="majorHAnsi" w:hAnsiTheme="majorHAnsi"/>
                <w:spacing w:val="-2"/>
                <w:sz w:val="20"/>
                <w:szCs w:val="20"/>
              </w:rPr>
              <w:t xml:space="preserve"> </w:t>
            </w:r>
            <w:r w:rsidRPr="00931A71">
              <w:rPr>
                <w:rFonts w:asciiTheme="majorHAnsi" w:hAnsiTheme="majorHAnsi"/>
                <w:sz w:val="20"/>
                <w:szCs w:val="20"/>
              </w:rPr>
              <w:t xml:space="preserve">be </w:t>
            </w:r>
            <w:r w:rsidRPr="00931A71">
              <w:rPr>
                <w:rFonts w:asciiTheme="majorHAnsi" w:hAnsiTheme="majorHAnsi"/>
                <w:spacing w:val="-1"/>
                <w:sz w:val="20"/>
                <w:szCs w:val="20"/>
              </w:rPr>
              <w:t>counted.</w:t>
            </w:r>
            <w:r w:rsidRPr="00931A71">
              <w:rPr>
                <w:rFonts w:asciiTheme="majorHAnsi" w:hAnsiTheme="majorHAnsi"/>
                <w:sz w:val="20"/>
                <w:szCs w:val="20"/>
              </w:rPr>
              <w:t xml:space="preserve"> </w:t>
            </w:r>
          </w:p>
        </w:tc>
      </w:tr>
      <w:tr w:rsidR="00367585" w:rsidRPr="00931A71" w14:paraId="618790D7" w14:textId="77777777" w:rsidTr="000C082F">
        <w:tc>
          <w:tcPr>
            <w:tcW w:w="1476" w:type="dxa"/>
            <w:shd w:val="clear" w:color="auto" w:fill="DBE5F1" w:themeFill="accent1" w:themeFillTint="33"/>
          </w:tcPr>
          <w:p w14:paraId="4FF6891D"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12-month</w:t>
            </w:r>
          </w:p>
          <w:p w14:paraId="3FF7028A"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(Jan 1 —</w:t>
            </w:r>
          </w:p>
          <w:p w14:paraId="02293C48" w14:textId="01B87060"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Dec 31</w:t>
            </w:r>
            <w:r w:rsidR="006C65F0">
              <w:rPr>
                <w:rFonts w:asciiTheme="majorHAnsi" w:hAnsiTheme="majorHAnsi"/>
                <w:sz w:val="20"/>
                <w:szCs w:val="20"/>
              </w:rPr>
              <w:t>,</w:t>
            </w:r>
            <w:r w:rsidR="00FA6B36">
              <w:rPr>
                <w:rFonts w:asciiTheme="majorHAnsi" w:hAnsiTheme="majorHAnsi"/>
                <w:sz w:val="20"/>
                <w:szCs w:val="20"/>
              </w:rPr>
              <w:t xml:space="preserve"> 2016</w:t>
            </w:r>
            <w:r w:rsidRPr="00931A71">
              <w:rPr>
                <w:rFonts w:asciiTheme="majorHAnsi" w:hAnsiTheme="majorHAnsi"/>
                <w:sz w:val="20"/>
                <w:szCs w:val="20"/>
              </w:rPr>
              <w:t>)</w:t>
            </w:r>
          </w:p>
          <w:p w14:paraId="02FA48F6" w14:textId="77777777" w:rsidR="00367585" w:rsidRPr="00931A71" w:rsidRDefault="00367585" w:rsidP="00367585">
            <w:pPr>
              <w:pStyle w:val="NoSpacing"/>
              <w:rPr>
                <w:rFonts w:asciiTheme="majorHAnsi" w:hAnsiTheme="majorHAnsi"/>
                <w:sz w:val="20"/>
                <w:szCs w:val="20"/>
              </w:rPr>
            </w:pPr>
          </w:p>
          <w:p w14:paraId="56CDBEB0" w14:textId="77777777" w:rsidR="00367585" w:rsidRPr="00931A71" w:rsidRDefault="00367585" w:rsidP="00367585">
            <w:pPr>
              <w:pStyle w:val="NoSpacing"/>
              <w:rPr>
                <w:rFonts w:asciiTheme="majorHAnsi" w:hAnsiTheme="majorHAnsi"/>
                <w:sz w:val="20"/>
                <w:szCs w:val="20"/>
              </w:rPr>
            </w:pPr>
          </w:p>
        </w:tc>
        <w:tc>
          <w:tcPr>
            <w:tcW w:w="1124" w:type="dxa"/>
            <w:shd w:val="clear" w:color="auto" w:fill="DBE5F1" w:themeFill="accent1" w:themeFillTint="33"/>
          </w:tcPr>
          <w:p w14:paraId="2E19550E"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Individual</w:t>
            </w:r>
          </w:p>
          <w:p w14:paraId="1CE0B43C"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Measures</w:t>
            </w:r>
          </w:p>
        </w:tc>
        <w:tc>
          <w:tcPr>
            <w:tcW w:w="1350" w:type="dxa"/>
            <w:shd w:val="clear" w:color="auto" w:fill="DBE5F1" w:themeFill="accent1" w:themeFillTint="33"/>
          </w:tcPr>
          <w:p w14:paraId="736F1379"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Qualified</w:t>
            </w:r>
          </w:p>
          <w:p w14:paraId="074AF336"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Registry</w:t>
            </w:r>
          </w:p>
        </w:tc>
        <w:tc>
          <w:tcPr>
            <w:tcW w:w="5328" w:type="dxa"/>
            <w:shd w:val="clear" w:color="auto" w:fill="DBE5F1" w:themeFill="accent1" w:themeFillTint="33"/>
          </w:tcPr>
          <w:p w14:paraId="6161019B" w14:textId="432F2D20" w:rsidR="00367585" w:rsidRPr="00931A71" w:rsidRDefault="00367585" w:rsidP="006C65F0">
            <w:pPr>
              <w:pStyle w:val="NoSpacing"/>
              <w:rPr>
                <w:rFonts w:asciiTheme="majorHAnsi" w:hAnsiTheme="majorHAnsi"/>
                <w:sz w:val="20"/>
                <w:szCs w:val="20"/>
              </w:rPr>
            </w:pPr>
            <w:r w:rsidRPr="00931A71">
              <w:rPr>
                <w:rFonts w:asciiTheme="majorHAnsi" w:hAnsiTheme="majorHAnsi"/>
                <w:sz w:val="20"/>
                <w:szCs w:val="20"/>
              </w:rPr>
              <w:t xml:space="preserve">Report at least 9 measures covering at least 3 NQS domains, OR, if less than 9 measures covering at least 3 NQS domains apply, report 1-8 measures covering 1-3 NQS domains, AND report each measure for at least 50% of the Medicare Part B FFS patients seen during the reporting period to which the measure applies.  If less than 9 measures apply, report 1-8 measures covering 1-3 NQS domains, but subject to </w:t>
            </w:r>
            <w:r w:rsidR="006C65F0">
              <w:rPr>
                <w:rFonts w:asciiTheme="majorHAnsi" w:hAnsiTheme="majorHAnsi"/>
                <w:sz w:val="20"/>
                <w:szCs w:val="20"/>
              </w:rPr>
              <w:t>the MAV process</w:t>
            </w:r>
            <w:proofErr w:type="gramStart"/>
            <w:r w:rsidR="006C65F0">
              <w:rPr>
                <w:rFonts w:asciiTheme="majorHAnsi" w:hAnsiTheme="majorHAnsi"/>
                <w:sz w:val="20"/>
                <w:szCs w:val="20"/>
              </w:rPr>
              <w:t>.</w:t>
            </w:r>
            <w:r w:rsidR="00FA6B36" w:rsidRPr="00FA6B36">
              <w:rPr>
                <w:rFonts w:asciiTheme="majorHAnsi" w:hAnsiTheme="majorHAnsi"/>
                <w:sz w:val="20"/>
                <w:szCs w:val="20"/>
                <w:vertAlign w:val="superscript"/>
              </w:rPr>
              <w:t>+</w:t>
            </w:r>
            <w:proofErr w:type="gramEnd"/>
            <w:r w:rsidR="00FA6B36">
              <w:rPr>
                <w:rFonts w:asciiTheme="majorHAnsi" w:hAnsiTheme="majorHAnsi"/>
                <w:sz w:val="20"/>
                <w:szCs w:val="20"/>
              </w:rPr>
              <w:t xml:space="preserve"> </w:t>
            </w:r>
            <w:r w:rsidRPr="00931A71">
              <w:rPr>
                <w:rFonts w:asciiTheme="majorHAnsi" w:hAnsiTheme="majorHAnsi"/>
                <w:spacing w:val="-1"/>
                <w:sz w:val="20"/>
                <w:szCs w:val="20"/>
              </w:rPr>
              <w:t>Measures with a 0 performance</w:t>
            </w:r>
            <w:r w:rsidRPr="00931A71">
              <w:rPr>
                <w:rFonts w:asciiTheme="majorHAnsi" w:hAnsiTheme="majorHAnsi"/>
                <w:spacing w:val="-11"/>
                <w:sz w:val="20"/>
                <w:szCs w:val="20"/>
              </w:rPr>
              <w:t xml:space="preserve"> </w:t>
            </w:r>
            <w:r w:rsidRPr="00931A71">
              <w:rPr>
                <w:rFonts w:asciiTheme="majorHAnsi" w:hAnsiTheme="majorHAnsi"/>
                <w:spacing w:val="-1"/>
                <w:sz w:val="20"/>
                <w:szCs w:val="20"/>
              </w:rPr>
              <w:t>rate</w:t>
            </w:r>
            <w:r w:rsidRPr="00931A71">
              <w:rPr>
                <w:rFonts w:asciiTheme="majorHAnsi" w:hAnsiTheme="majorHAnsi"/>
                <w:sz w:val="20"/>
                <w:szCs w:val="20"/>
              </w:rPr>
              <w:t xml:space="preserve"> </w:t>
            </w:r>
            <w:r w:rsidRPr="00931A71">
              <w:rPr>
                <w:rFonts w:asciiTheme="majorHAnsi" w:hAnsiTheme="majorHAnsi"/>
                <w:spacing w:val="-1"/>
                <w:sz w:val="20"/>
                <w:szCs w:val="20"/>
              </w:rPr>
              <w:t>will not</w:t>
            </w:r>
            <w:r w:rsidRPr="00931A71">
              <w:rPr>
                <w:rFonts w:asciiTheme="majorHAnsi" w:hAnsiTheme="majorHAnsi"/>
                <w:spacing w:val="-2"/>
                <w:sz w:val="20"/>
                <w:szCs w:val="20"/>
              </w:rPr>
              <w:t xml:space="preserve"> </w:t>
            </w:r>
            <w:r w:rsidRPr="00931A71">
              <w:rPr>
                <w:rFonts w:asciiTheme="majorHAnsi" w:hAnsiTheme="majorHAnsi"/>
                <w:sz w:val="20"/>
                <w:szCs w:val="20"/>
              </w:rPr>
              <w:t xml:space="preserve">be </w:t>
            </w:r>
            <w:r w:rsidRPr="00931A71">
              <w:rPr>
                <w:rFonts w:asciiTheme="majorHAnsi" w:hAnsiTheme="majorHAnsi"/>
                <w:spacing w:val="-1"/>
                <w:sz w:val="20"/>
                <w:szCs w:val="20"/>
              </w:rPr>
              <w:t>counted.</w:t>
            </w:r>
            <w:r w:rsidRPr="00931A71">
              <w:rPr>
                <w:rFonts w:asciiTheme="majorHAnsi" w:hAnsiTheme="majorHAnsi"/>
                <w:sz w:val="20"/>
                <w:szCs w:val="20"/>
              </w:rPr>
              <w:t xml:space="preserve"> </w:t>
            </w:r>
          </w:p>
        </w:tc>
      </w:tr>
      <w:tr w:rsidR="00367585" w:rsidRPr="00931A71" w14:paraId="12A0AE64" w14:textId="77777777" w:rsidTr="000C082F">
        <w:tc>
          <w:tcPr>
            <w:tcW w:w="1476" w:type="dxa"/>
            <w:shd w:val="clear" w:color="auto" w:fill="auto"/>
          </w:tcPr>
          <w:p w14:paraId="28CC79C6"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12-month</w:t>
            </w:r>
          </w:p>
          <w:p w14:paraId="47686976"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(Jan 1 —</w:t>
            </w:r>
          </w:p>
          <w:p w14:paraId="0BA2A71E" w14:textId="0CE9310D" w:rsidR="00367585"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367585" w:rsidRPr="00931A71">
              <w:rPr>
                <w:rFonts w:asciiTheme="majorHAnsi" w:hAnsiTheme="majorHAnsi"/>
                <w:sz w:val="20"/>
                <w:szCs w:val="20"/>
              </w:rPr>
              <w:t>)</w:t>
            </w:r>
          </w:p>
        </w:tc>
        <w:tc>
          <w:tcPr>
            <w:tcW w:w="1124" w:type="dxa"/>
            <w:shd w:val="clear" w:color="auto" w:fill="auto"/>
          </w:tcPr>
          <w:p w14:paraId="79F1D5CE"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Individual</w:t>
            </w:r>
          </w:p>
          <w:p w14:paraId="4DA42A9C"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Measures</w:t>
            </w:r>
          </w:p>
        </w:tc>
        <w:tc>
          <w:tcPr>
            <w:tcW w:w="1350" w:type="dxa"/>
            <w:shd w:val="clear" w:color="auto" w:fill="auto"/>
          </w:tcPr>
          <w:p w14:paraId="2E03765E"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Direct EHR product or EHR data submission vendor</w:t>
            </w:r>
          </w:p>
          <w:p w14:paraId="55E0C9DE" w14:textId="77777777" w:rsidR="00367585" w:rsidRPr="00931A71" w:rsidRDefault="00367585" w:rsidP="00367585">
            <w:pPr>
              <w:pStyle w:val="NoSpacing"/>
              <w:rPr>
                <w:rFonts w:asciiTheme="majorHAnsi" w:hAnsiTheme="majorHAnsi"/>
                <w:sz w:val="20"/>
                <w:szCs w:val="20"/>
              </w:rPr>
            </w:pPr>
          </w:p>
        </w:tc>
        <w:tc>
          <w:tcPr>
            <w:tcW w:w="5328" w:type="dxa"/>
            <w:shd w:val="clear" w:color="auto" w:fill="auto"/>
          </w:tcPr>
          <w:p w14:paraId="2B0C5189" w14:textId="440772AB"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Report 9 measures covering at least 3 of the NQS domains. If an EP’s EHR product/vendor does not contain patient data for at least 9 measures covering at least 3 domains, then the EP would be required to report all of the measures for which there is Medicare patient data. EPs are required to report on</w:t>
            </w:r>
            <w:r w:rsidR="00B14112">
              <w:rPr>
                <w:rFonts w:asciiTheme="majorHAnsi" w:hAnsiTheme="majorHAnsi"/>
                <w:sz w:val="20"/>
                <w:szCs w:val="20"/>
              </w:rPr>
              <w:t xml:space="preserve"> </w:t>
            </w:r>
            <w:r w:rsidRPr="00931A71">
              <w:rPr>
                <w:rFonts w:asciiTheme="majorHAnsi" w:hAnsiTheme="majorHAnsi"/>
                <w:sz w:val="20"/>
                <w:szCs w:val="20"/>
              </w:rPr>
              <w:t>at least 1 measure for which there is Medicare patient data.</w:t>
            </w:r>
          </w:p>
        </w:tc>
      </w:tr>
      <w:tr w:rsidR="00367585" w:rsidRPr="00931A71" w14:paraId="67726D78" w14:textId="77777777" w:rsidTr="000C082F">
        <w:trPr>
          <w:trHeight w:val="1141"/>
        </w:trPr>
        <w:tc>
          <w:tcPr>
            <w:tcW w:w="1476" w:type="dxa"/>
            <w:shd w:val="clear" w:color="auto" w:fill="DBE5F1" w:themeFill="accent1" w:themeFillTint="33"/>
          </w:tcPr>
          <w:p w14:paraId="394EFFF4"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12-month</w:t>
            </w:r>
          </w:p>
          <w:p w14:paraId="26BE1460"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(Jan 1 —</w:t>
            </w:r>
          </w:p>
          <w:p w14:paraId="65206D75" w14:textId="799832E1" w:rsidR="00367585"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367585" w:rsidRPr="00931A71">
              <w:rPr>
                <w:rFonts w:asciiTheme="majorHAnsi" w:hAnsiTheme="majorHAnsi"/>
                <w:sz w:val="20"/>
                <w:szCs w:val="20"/>
              </w:rPr>
              <w:t>)</w:t>
            </w:r>
          </w:p>
        </w:tc>
        <w:tc>
          <w:tcPr>
            <w:tcW w:w="1124" w:type="dxa"/>
            <w:shd w:val="clear" w:color="auto" w:fill="DBE5F1" w:themeFill="accent1" w:themeFillTint="33"/>
          </w:tcPr>
          <w:p w14:paraId="2813FF64"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Measures</w:t>
            </w:r>
          </w:p>
          <w:p w14:paraId="223969A9"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Groups</w:t>
            </w:r>
          </w:p>
          <w:p w14:paraId="0F973311" w14:textId="77777777" w:rsidR="00367585" w:rsidRPr="00931A71" w:rsidRDefault="00367585" w:rsidP="00367585">
            <w:pPr>
              <w:pStyle w:val="NoSpacing"/>
              <w:rPr>
                <w:rFonts w:asciiTheme="majorHAnsi" w:hAnsiTheme="majorHAnsi"/>
                <w:sz w:val="20"/>
                <w:szCs w:val="20"/>
              </w:rPr>
            </w:pPr>
          </w:p>
        </w:tc>
        <w:tc>
          <w:tcPr>
            <w:tcW w:w="1350" w:type="dxa"/>
            <w:shd w:val="clear" w:color="auto" w:fill="DBE5F1" w:themeFill="accent1" w:themeFillTint="33"/>
          </w:tcPr>
          <w:p w14:paraId="368ECF45"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Qualified</w:t>
            </w:r>
          </w:p>
          <w:p w14:paraId="1FB25778"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Registry</w:t>
            </w:r>
          </w:p>
        </w:tc>
        <w:tc>
          <w:tcPr>
            <w:tcW w:w="5328" w:type="dxa"/>
            <w:shd w:val="clear" w:color="auto" w:fill="DBE5F1" w:themeFill="accent1" w:themeFillTint="33"/>
          </w:tcPr>
          <w:p w14:paraId="7D169C2D" w14:textId="6CC6F3EB"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Report at least 1 measures group, AND report each measures group for at least 20 patients, the majority (11 patients) of which much be Medicare Part B FFS patients.  Measures groups containing a measure with a 0 percent performance rate will not be counted.</w:t>
            </w:r>
          </w:p>
        </w:tc>
      </w:tr>
      <w:tr w:rsidR="00367585" w:rsidRPr="00931A71" w14:paraId="060C5F90" w14:textId="77777777" w:rsidTr="000C082F">
        <w:tc>
          <w:tcPr>
            <w:tcW w:w="1476" w:type="dxa"/>
            <w:shd w:val="clear" w:color="auto" w:fill="auto"/>
          </w:tcPr>
          <w:p w14:paraId="2BDE9001"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12-month</w:t>
            </w:r>
          </w:p>
          <w:p w14:paraId="14473010"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(Jan 1 —</w:t>
            </w:r>
          </w:p>
          <w:p w14:paraId="0A0B840C" w14:textId="0B97A4ED" w:rsidR="00367585"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367585" w:rsidRPr="00931A71">
              <w:rPr>
                <w:rFonts w:asciiTheme="majorHAnsi" w:hAnsiTheme="majorHAnsi"/>
                <w:sz w:val="20"/>
                <w:szCs w:val="20"/>
              </w:rPr>
              <w:t>)</w:t>
            </w:r>
          </w:p>
          <w:p w14:paraId="76D5769B" w14:textId="77777777" w:rsidR="00367585" w:rsidRPr="00931A71" w:rsidRDefault="00367585" w:rsidP="00367585">
            <w:pPr>
              <w:pStyle w:val="NoSpacing"/>
              <w:rPr>
                <w:rFonts w:asciiTheme="majorHAnsi" w:hAnsiTheme="majorHAnsi"/>
                <w:sz w:val="20"/>
                <w:szCs w:val="20"/>
              </w:rPr>
            </w:pPr>
          </w:p>
          <w:p w14:paraId="763405A0" w14:textId="77777777" w:rsidR="00367585" w:rsidRPr="00931A71" w:rsidRDefault="00367585" w:rsidP="00367585">
            <w:pPr>
              <w:pStyle w:val="NoSpacing"/>
              <w:rPr>
                <w:rFonts w:asciiTheme="majorHAnsi" w:hAnsiTheme="majorHAnsi"/>
                <w:sz w:val="20"/>
                <w:szCs w:val="20"/>
              </w:rPr>
            </w:pPr>
          </w:p>
        </w:tc>
        <w:tc>
          <w:tcPr>
            <w:tcW w:w="1124" w:type="dxa"/>
            <w:shd w:val="clear" w:color="auto" w:fill="auto"/>
          </w:tcPr>
          <w:p w14:paraId="44C8CBED"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Individual PQRS and/or non-PQRS measures reportable by a</w:t>
            </w:r>
          </w:p>
          <w:p w14:paraId="6644263A"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 xml:space="preserve">QCDR </w:t>
            </w:r>
          </w:p>
        </w:tc>
        <w:tc>
          <w:tcPr>
            <w:tcW w:w="1350" w:type="dxa"/>
            <w:shd w:val="clear" w:color="auto" w:fill="auto"/>
          </w:tcPr>
          <w:p w14:paraId="5F7B64D2"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Qualified</w:t>
            </w:r>
          </w:p>
          <w:p w14:paraId="1BD7BFC2"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Clinical</w:t>
            </w:r>
          </w:p>
          <w:p w14:paraId="3EE4256E"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Data</w:t>
            </w:r>
          </w:p>
          <w:p w14:paraId="517CD064"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Registry (QCDR)</w:t>
            </w:r>
          </w:p>
        </w:tc>
        <w:tc>
          <w:tcPr>
            <w:tcW w:w="5328" w:type="dxa"/>
            <w:shd w:val="clear" w:color="auto" w:fill="auto"/>
          </w:tcPr>
          <w:p w14:paraId="3C536797" w14:textId="77777777" w:rsidR="00367585" w:rsidRPr="00931A71" w:rsidRDefault="00367585" w:rsidP="00367585">
            <w:pPr>
              <w:pStyle w:val="NoSpacing"/>
              <w:rPr>
                <w:rFonts w:asciiTheme="majorHAnsi" w:hAnsiTheme="majorHAnsi"/>
                <w:sz w:val="20"/>
                <w:szCs w:val="20"/>
              </w:rPr>
            </w:pPr>
            <w:r w:rsidRPr="00931A71">
              <w:rPr>
                <w:rFonts w:asciiTheme="majorHAnsi" w:hAnsiTheme="majorHAnsi"/>
                <w:sz w:val="20"/>
                <w:szCs w:val="20"/>
              </w:rPr>
              <w:t xml:space="preserve">Report at least 9 measures available for reporting under a QCDR covering at least 3 of the NQS domains, AND report each measure for at least 50% of all applicable </w:t>
            </w:r>
            <w:proofErr w:type="gramStart"/>
            <w:r w:rsidRPr="00931A71">
              <w:rPr>
                <w:rFonts w:asciiTheme="majorHAnsi" w:hAnsiTheme="majorHAnsi"/>
                <w:sz w:val="20"/>
                <w:szCs w:val="20"/>
              </w:rPr>
              <w:t>patients  (</w:t>
            </w:r>
            <w:proofErr w:type="gramEnd"/>
            <w:r w:rsidRPr="00931A71">
              <w:rPr>
                <w:rFonts w:asciiTheme="majorHAnsi" w:hAnsiTheme="majorHAnsi"/>
                <w:sz w:val="20"/>
                <w:szCs w:val="20"/>
              </w:rPr>
              <w:t xml:space="preserve">both Medicare and non-Medicare). Of these measures, at least 2 must be outcome measures, OR, if 2 outcomes measures are not available, at least 1 outcome measures and at least 1 resource use, patient experience of care, </w:t>
            </w:r>
          </w:p>
          <w:p w14:paraId="66B9EED5" w14:textId="77777777" w:rsidR="00367585" w:rsidRPr="00931A71" w:rsidRDefault="00367585" w:rsidP="00367585">
            <w:pPr>
              <w:pStyle w:val="NoSpacing"/>
              <w:rPr>
                <w:rFonts w:asciiTheme="majorHAnsi" w:hAnsiTheme="majorHAnsi"/>
                <w:sz w:val="20"/>
                <w:szCs w:val="20"/>
              </w:rPr>
            </w:pPr>
            <w:proofErr w:type="gramStart"/>
            <w:r w:rsidRPr="00931A71">
              <w:rPr>
                <w:rFonts w:asciiTheme="majorHAnsi" w:hAnsiTheme="majorHAnsi"/>
                <w:sz w:val="20"/>
                <w:szCs w:val="20"/>
              </w:rPr>
              <w:t>efficiency/</w:t>
            </w:r>
            <w:proofErr w:type="gramEnd"/>
            <w:r w:rsidRPr="00931A71">
              <w:rPr>
                <w:rFonts w:asciiTheme="majorHAnsi" w:hAnsiTheme="majorHAnsi"/>
                <w:sz w:val="20"/>
                <w:szCs w:val="20"/>
              </w:rPr>
              <w:t>appropriate use, or patient safety measure.</w:t>
            </w:r>
          </w:p>
        </w:tc>
      </w:tr>
    </w:tbl>
    <w:p w14:paraId="69BB778C" w14:textId="77777777" w:rsidR="009C502F" w:rsidRDefault="009C502F" w:rsidP="000C082F">
      <w:pPr>
        <w:pStyle w:val="NoSpacing"/>
        <w:rPr>
          <w:rFonts w:asciiTheme="majorHAnsi" w:hAnsiTheme="majorHAnsi"/>
          <w:sz w:val="18"/>
          <w:szCs w:val="18"/>
        </w:rPr>
      </w:pPr>
    </w:p>
    <w:p w14:paraId="187AF164" w14:textId="1DE32F78" w:rsidR="000C082F" w:rsidRPr="009C0886" w:rsidRDefault="000C082F" w:rsidP="000C082F">
      <w:pPr>
        <w:pStyle w:val="NoSpacing"/>
        <w:rPr>
          <w:rFonts w:asciiTheme="majorHAnsi" w:hAnsiTheme="majorHAnsi" w:cs="Noteworthy Light"/>
          <w:i/>
          <w:sz w:val="18"/>
          <w:szCs w:val="18"/>
        </w:rPr>
      </w:pPr>
      <w:r w:rsidRPr="009C0886">
        <w:rPr>
          <w:rFonts w:asciiTheme="majorHAnsi" w:hAnsiTheme="majorHAnsi"/>
          <w:i/>
          <w:sz w:val="18"/>
          <w:szCs w:val="18"/>
        </w:rPr>
        <w:t xml:space="preserve">*PQRS measures are categorized under the following </w:t>
      </w:r>
      <w:r w:rsidR="009C502F" w:rsidRPr="009C0886">
        <w:rPr>
          <w:rFonts w:asciiTheme="majorHAnsi" w:hAnsiTheme="majorHAnsi"/>
          <w:i/>
          <w:sz w:val="18"/>
          <w:szCs w:val="18"/>
        </w:rPr>
        <w:t xml:space="preserve">National Quality Strategy (NQS) domains: </w:t>
      </w:r>
      <w:r w:rsidR="009C502F" w:rsidRPr="009C0886">
        <w:rPr>
          <w:rFonts w:asciiTheme="majorHAnsi" w:hAnsiTheme="majorHAnsi" w:cs="Noteworthy Light"/>
          <w:i/>
          <w:sz w:val="18"/>
          <w:szCs w:val="18"/>
        </w:rPr>
        <w:t xml:space="preserve">Patient and Family Engagement; Patient Safety; Care Coordination; Population and Public Health; </w:t>
      </w:r>
      <w:r w:rsidRPr="009C0886">
        <w:rPr>
          <w:rFonts w:asciiTheme="majorHAnsi" w:hAnsiTheme="majorHAnsi" w:cs="Noteworthy Light"/>
          <w:i/>
          <w:sz w:val="18"/>
          <w:szCs w:val="18"/>
        </w:rPr>
        <w:t>Efficient Use of Healthcare Res</w:t>
      </w:r>
      <w:r w:rsidR="009C502F" w:rsidRPr="009C0886">
        <w:rPr>
          <w:rFonts w:asciiTheme="majorHAnsi" w:hAnsiTheme="majorHAnsi" w:cs="Noteworthy Light"/>
          <w:i/>
          <w:sz w:val="18"/>
          <w:szCs w:val="18"/>
        </w:rPr>
        <w:t xml:space="preserve">ources; and </w:t>
      </w:r>
      <w:r w:rsidRPr="009C0886">
        <w:rPr>
          <w:rFonts w:asciiTheme="majorHAnsi" w:hAnsiTheme="majorHAnsi" w:cs="Noteworthy Light"/>
          <w:i/>
          <w:sz w:val="18"/>
          <w:szCs w:val="18"/>
        </w:rPr>
        <w:t>Clinical Processes/Effectiveness</w:t>
      </w:r>
    </w:p>
    <w:p w14:paraId="3F8B5348" w14:textId="622A1B8C" w:rsidR="000C082F" w:rsidRPr="009C0886" w:rsidRDefault="000C082F" w:rsidP="000C082F">
      <w:pPr>
        <w:pStyle w:val="NoSpacing"/>
        <w:rPr>
          <w:rFonts w:asciiTheme="majorHAnsi" w:hAnsiTheme="majorHAnsi"/>
          <w:i/>
          <w:sz w:val="18"/>
          <w:szCs w:val="18"/>
        </w:rPr>
      </w:pPr>
      <w:r w:rsidRPr="009C0886">
        <w:rPr>
          <w:rFonts w:asciiTheme="majorHAnsi" w:hAnsiTheme="majorHAnsi"/>
          <w:i/>
          <w:sz w:val="18"/>
          <w:szCs w:val="18"/>
        </w:rPr>
        <w:t>+</w:t>
      </w:r>
      <w:r w:rsidR="003B3334" w:rsidRPr="009C0886">
        <w:rPr>
          <w:rFonts w:asciiTheme="majorHAnsi" w:hAnsiTheme="majorHAnsi"/>
          <w:i/>
          <w:sz w:val="18"/>
          <w:szCs w:val="18"/>
        </w:rPr>
        <w:t xml:space="preserve">The </w:t>
      </w:r>
      <w:r w:rsidRPr="009C0886">
        <w:rPr>
          <w:rFonts w:asciiTheme="majorHAnsi" w:hAnsiTheme="majorHAnsi"/>
          <w:i/>
          <w:sz w:val="18"/>
          <w:szCs w:val="18"/>
        </w:rPr>
        <w:t>Measures Applicab</w:t>
      </w:r>
      <w:r w:rsidR="003B3334" w:rsidRPr="009C0886">
        <w:rPr>
          <w:rFonts w:asciiTheme="majorHAnsi" w:hAnsiTheme="majorHAnsi"/>
          <w:i/>
          <w:sz w:val="18"/>
          <w:szCs w:val="18"/>
        </w:rPr>
        <w:t>ility Validation (MAV) process is what CMS uses to verify whether an EP could have reported</w:t>
      </w:r>
      <w:r w:rsidR="009C0886" w:rsidRPr="009C0886">
        <w:rPr>
          <w:rFonts w:asciiTheme="majorHAnsi" w:hAnsiTheme="majorHAnsi"/>
          <w:i/>
          <w:sz w:val="18"/>
          <w:szCs w:val="18"/>
        </w:rPr>
        <w:t xml:space="preserve"> on</w:t>
      </w:r>
      <w:r w:rsidR="003B3334" w:rsidRPr="009C0886">
        <w:rPr>
          <w:rFonts w:asciiTheme="majorHAnsi" w:hAnsiTheme="majorHAnsi"/>
          <w:i/>
          <w:sz w:val="18"/>
          <w:szCs w:val="18"/>
        </w:rPr>
        <w:t xml:space="preserve"> additional </w:t>
      </w:r>
      <w:r w:rsidR="009C0886" w:rsidRPr="009C0886">
        <w:rPr>
          <w:rFonts w:asciiTheme="majorHAnsi" w:hAnsiTheme="majorHAnsi"/>
          <w:i/>
          <w:sz w:val="18"/>
          <w:szCs w:val="18"/>
        </w:rPr>
        <w:t>clinically relevant measures. It is only</w:t>
      </w:r>
      <w:r w:rsidR="003B3334" w:rsidRPr="009C0886">
        <w:rPr>
          <w:rFonts w:asciiTheme="majorHAnsi" w:hAnsiTheme="majorHAnsi"/>
          <w:i/>
          <w:sz w:val="18"/>
          <w:szCs w:val="18"/>
        </w:rPr>
        <w:t xml:space="preserve"> triggered when an EP reports on less than 9 measures a</w:t>
      </w:r>
      <w:r w:rsidR="009C0886" w:rsidRPr="009C0886">
        <w:rPr>
          <w:rFonts w:asciiTheme="majorHAnsi" w:hAnsiTheme="majorHAnsi"/>
          <w:i/>
          <w:sz w:val="18"/>
          <w:szCs w:val="18"/>
        </w:rPr>
        <w:t xml:space="preserve">nd/or less than 3 NQS domains. </w:t>
      </w:r>
      <w:r w:rsidR="00BD53B1" w:rsidRPr="00FA6B36">
        <w:rPr>
          <w:rFonts w:asciiTheme="majorHAnsi" w:hAnsiTheme="majorHAnsi"/>
          <w:i/>
          <w:sz w:val="18"/>
          <w:szCs w:val="18"/>
        </w:rPr>
        <w:t xml:space="preserve">For more information, </w:t>
      </w:r>
      <w:r w:rsidR="00FA6B36" w:rsidRPr="00FA6B36">
        <w:rPr>
          <w:rFonts w:asciiTheme="majorHAnsi" w:hAnsiTheme="majorHAnsi"/>
          <w:i/>
          <w:sz w:val="18"/>
          <w:szCs w:val="18"/>
        </w:rPr>
        <w:t>click</w:t>
      </w:r>
      <w:hyperlink r:id="rId18" w:history="1">
        <w:r w:rsidR="00FA6B36" w:rsidRPr="00FA6B36">
          <w:rPr>
            <w:rStyle w:val="Hyperlink"/>
            <w:rFonts w:asciiTheme="majorHAnsi" w:hAnsiTheme="majorHAnsi"/>
            <w:i/>
            <w:sz w:val="18"/>
            <w:szCs w:val="18"/>
          </w:rPr>
          <w:t xml:space="preserve"> here</w:t>
        </w:r>
      </w:hyperlink>
      <w:r w:rsidR="00FA6B36">
        <w:rPr>
          <w:rFonts w:asciiTheme="majorHAnsi" w:hAnsiTheme="majorHAnsi"/>
          <w:i/>
          <w:sz w:val="18"/>
          <w:szCs w:val="18"/>
        </w:rPr>
        <w:t>.</w:t>
      </w:r>
    </w:p>
    <w:p w14:paraId="58D44092" w14:textId="77777777" w:rsidR="009C0886" w:rsidRDefault="009C0886" w:rsidP="00931A71">
      <w:pPr>
        <w:pStyle w:val="Heading2"/>
      </w:pPr>
    </w:p>
    <w:p w14:paraId="316A1609" w14:textId="350F9B00" w:rsidR="00367585" w:rsidRPr="00931A71" w:rsidRDefault="00FA6B36" w:rsidP="00931A71">
      <w:pPr>
        <w:pStyle w:val="Heading2"/>
      </w:pPr>
      <w:r>
        <w:t xml:space="preserve">2016 </w:t>
      </w:r>
      <w:r w:rsidR="009561D2">
        <w:t>PQRS Reporting Options to Avoid a Penalty if Participating as a Group Practice</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350"/>
        <w:gridCol w:w="1170"/>
        <w:gridCol w:w="3960"/>
      </w:tblGrid>
      <w:tr w:rsidR="000B0803" w:rsidRPr="00931A71" w14:paraId="12607183" w14:textId="77777777" w:rsidTr="000B0803">
        <w:tc>
          <w:tcPr>
            <w:tcW w:w="1170" w:type="dxa"/>
            <w:shd w:val="clear" w:color="auto" w:fill="C6D9F1" w:themeFill="text2" w:themeFillTint="33"/>
            <w:vAlign w:val="center"/>
          </w:tcPr>
          <w:p w14:paraId="4DDC3561" w14:textId="77777777"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Reporting</w:t>
            </w:r>
          </w:p>
          <w:p w14:paraId="13F8A97A" w14:textId="77777777"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Period</w:t>
            </w:r>
          </w:p>
        </w:tc>
        <w:tc>
          <w:tcPr>
            <w:tcW w:w="1440" w:type="dxa"/>
            <w:shd w:val="clear" w:color="auto" w:fill="C6D9F1" w:themeFill="text2" w:themeFillTint="33"/>
            <w:vAlign w:val="center"/>
          </w:tcPr>
          <w:p w14:paraId="458A5BA0" w14:textId="77777777"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Group Practice Size</w:t>
            </w:r>
          </w:p>
        </w:tc>
        <w:tc>
          <w:tcPr>
            <w:tcW w:w="1350" w:type="dxa"/>
            <w:shd w:val="clear" w:color="auto" w:fill="C6D9F1" w:themeFill="text2" w:themeFillTint="33"/>
            <w:vAlign w:val="center"/>
          </w:tcPr>
          <w:p w14:paraId="4F9BD692" w14:textId="1CCA7EB2"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Reporting Mechanism</w:t>
            </w:r>
          </w:p>
        </w:tc>
        <w:tc>
          <w:tcPr>
            <w:tcW w:w="1170" w:type="dxa"/>
            <w:shd w:val="clear" w:color="auto" w:fill="C6D9F1" w:themeFill="text2" w:themeFillTint="33"/>
            <w:vAlign w:val="center"/>
          </w:tcPr>
          <w:p w14:paraId="67E9ECB4" w14:textId="163D7AC7"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Measure</w:t>
            </w:r>
          </w:p>
          <w:p w14:paraId="142A9E98" w14:textId="77777777"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Type</w:t>
            </w:r>
          </w:p>
        </w:tc>
        <w:tc>
          <w:tcPr>
            <w:tcW w:w="3960" w:type="dxa"/>
            <w:shd w:val="clear" w:color="auto" w:fill="C6D9F1" w:themeFill="text2" w:themeFillTint="33"/>
            <w:vAlign w:val="center"/>
          </w:tcPr>
          <w:p w14:paraId="69655CC8" w14:textId="77777777" w:rsidR="000B0803" w:rsidRPr="007B4A29" w:rsidRDefault="000B0803" w:rsidP="007B4A29">
            <w:pPr>
              <w:pStyle w:val="NoSpacing"/>
              <w:jc w:val="center"/>
              <w:rPr>
                <w:rFonts w:asciiTheme="majorHAnsi" w:hAnsiTheme="majorHAnsi"/>
                <w:b/>
                <w:sz w:val="20"/>
                <w:szCs w:val="20"/>
              </w:rPr>
            </w:pPr>
            <w:r w:rsidRPr="007B4A29">
              <w:rPr>
                <w:rFonts w:asciiTheme="majorHAnsi" w:hAnsiTheme="majorHAnsi"/>
                <w:b/>
                <w:sz w:val="20"/>
                <w:szCs w:val="20"/>
              </w:rPr>
              <w:t>Satisfactory Reporting Criteria</w:t>
            </w:r>
          </w:p>
          <w:p w14:paraId="70A55951" w14:textId="77777777" w:rsidR="000B0803" w:rsidRPr="007B4A29" w:rsidRDefault="000B0803" w:rsidP="007B4A29">
            <w:pPr>
              <w:pStyle w:val="NoSpacing"/>
              <w:jc w:val="center"/>
              <w:rPr>
                <w:rFonts w:asciiTheme="majorHAnsi" w:hAnsiTheme="majorHAnsi"/>
                <w:b/>
                <w:sz w:val="20"/>
                <w:szCs w:val="20"/>
              </w:rPr>
            </w:pPr>
          </w:p>
        </w:tc>
      </w:tr>
      <w:tr w:rsidR="000B0803" w:rsidRPr="00931A71" w14:paraId="29E067A9" w14:textId="77777777" w:rsidTr="000B0803">
        <w:tc>
          <w:tcPr>
            <w:tcW w:w="1170" w:type="dxa"/>
            <w:shd w:val="clear" w:color="auto" w:fill="auto"/>
          </w:tcPr>
          <w:p w14:paraId="18EF7673"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12-month</w:t>
            </w:r>
          </w:p>
          <w:p w14:paraId="359FD4AC"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(Jan 1 —</w:t>
            </w:r>
          </w:p>
          <w:p w14:paraId="4FAE9B7B" w14:textId="10DD1695" w:rsidR="000B0803"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0B0803" w:rsidRPr="00931A71">
              <w:rPr>
                <w:rFonts w:asciiTheme="majorHAnsi" w:hAnsiTheme="majorHAnsi"/>
                <w:sz w:val="20"/>
                <w:szCs w:val="20"/>
              </w:rPr>
              <w:t>)</w:t>
            </w:r>
          </w:p>
          <w:p w14:paraId="788FA515" w14:textId="77777777" w:rsidR="000B0803" w:rsidRPr="00931A71" w:rsidRDefault="000B0803" w:rsidP="00367585">
            <w:pPr>
              <w:pStyle w:val="NoSpacing"/>
              <w:rPr>
                <w:rFonts w:asciiTheme="majorHAnsi" w:hAnsiTheme="majorHAnsi"/>
                <w:sz w:val="20"/>
                <w:szCs w:val="20"/>
              </w:rPr>
            </w:pPr>
          </w:p>
        </w:tc>
        <w:tc>
          <w:tcPr>
            <w:tcW w:w="1440" w:type="dxa"/>
          </w:tcPr>
          <w:p w14:paraId="2EEE92E6" w14:textId="77777777" w:rsidR="000B0803" w:rsidRDefault="000B0803" w:rsidP="00367585">
            <w:pPr>
              <w:pStyle w:val="NoSpacing"/>
              <w:rPr>
                <w:rFonts w:asciiTheme="majorHAnsi" w:hAnsiTheme="majorHAnsi"/>
                <w:sz w:val="20"/>
                <w:szCs w:val="20"/>
              </w:rPr>
            </w:pPr>
            <w:r w:rsidRPr="00931A71">
              <w:rPr>
                <w:rFonts w:asciiTheme="majorHAnsi" w:hAnsiTheme="majorHAnsi"/>
                <w:sz w:val="20"/>
                <w:szCs w:val="20"/>
              </w:rPr>
              <w:t xml:space="preserve">25-99 </w:t>
            </w:r>
            <w:r>
              <w:rPr>
                <w:rFonts w:asciiTheme="majorHAnsi" w:hAnsiTheme="majorHAnsi"/>
                <w:sz w:val="20"/>
                <w:szCs w:val="20"/>
              </w:rPr>
              <w:t>eligible professionals (</w:t>
            </w:r>
            <w:r w:rsidRPr="00931A71">
              <w:rPr>
                <w:rFonts w:asciiTheme="majorHAnsi" w:hAnsiTheme="majorHAnsi"/>
                <w:sz w:val="20"/>
                <w:szCs w:val="20"/>
              </w:rPr>
              <w:t>EPs</w:t>
            </w:r>
            <w:r>
              <w:rPr>
                <w:rFonts w:asciiTheme="majorHAnsi" w:hAnsiTheme="majorHAnsi"/>
                <w:sz w:val="20"/>
                <w:szCs w:val="20"/>
              </w:rPr>
              <w:t>)</w:t>
            </w:r>
          </w:p>
          <w:p w14:paraId="11864298" w14:textId="77777777" w:rsidR="00FA6B36" w:rsidRDefault="00FA6B36" w:rsidP="00367585">
            <w:pPr>
              <w:pStyle w:val="NoSpacing"/>
              <w:rPr>
                <w:rFonts w:asciiTheme="majorHAnsi" w:hAnsiTheme="majorHAnsi"/>
                <w:sz w:val="20"/>
                <w:szCs w:val="20"/>
              </w:rPr>
            </w:pPr>
          </w:p>
          <w:p w14:paraId="5519D029" w14:textId="4771E296" w:rsidR="00FA6B36" w:rsidRPr="00FA6B36" w:rsidRDefault="00FA6B36" w:rsidP="00FA6B36">
            <w:pPr>
              <w:widowControl w:val="0"/>
              <w:autoSpaceDE w:val="0"/>
              <w:autoSpaceDN w:val="0"/>
              <w:adjustRightInd w:val="0"/>
              <w:spacing w:after="0" w:line="240" w:lineRule="auto"/>
              <w:rPr>
                <w:rFonts w:asciiTheme="majorHAnsi" w:hAnsiTheme="majorHAnsi" w:cs="Times New Roman"/>
                <w:sz w:val="20"/>
                <w:szCs w:val="20"/>
              </w:rPr>
            </w:pPr>
            <w:r w:rsidRPr="00FA6B36">
              <w:rPr>
                <w:rFonts w:asciiTheme="majorHAnsi" w:hAnsiTheme="majorHAnsi" w:cs="Times New Roman"/>
                <w:sz w:val="20"/>
                <w:szCs w:val="20"/>
              </w:rPr>
              <w:t>100+</w:t>
            </w:r>
            <w:r w:rsidR="004512B6">
              <w:rPr>
                <w:rFonts w:asciiTheme="majorHAnsi" w:hAnsiTheme="majorHAnsi" w:cs="Times New Roman"/>
                <w:sz w:val="20"/>
                <w:szCs w:val="20"/>
              </w:rPr>
              <w:t xml:space="preserve"> </w:t>
            </w:r>
            <w:r w:rsidRPr="00FA6B36">
              <w:rPr>
                <w:rFonts w:asciiTheme="majorHAnsi" w:hAnsiTheme="majorHAnsi" w:cs="Times New Roman"/>
                <w:sz w:val="20"/>
                <w:szCs w:val="20"/>
              </w:rPr>
              <w:t>EPs (if</w:t>
            </w:r>
          </w:p>
          <w:p w14:paraId="39BD09F2" w14:textId="6B7EFFB4" w:rsidR="00FA6B36" w:rsidRPr="004512B6" w:rsidRDefault="00FA6B36" w:rsidP="004512B6">
            <w:pPr>
              <w:widowControl w:val="0"/>
              <w:autoSpaceDE w:val="0"/>
              <w:autoSpaceDN w:val="0"/>
              <w:adjustRightInd w:val="0"/>
              <w:spacing w:after="0" w:line="240" w:lineRule="auto"/>
              <w:rPr>
                <w:rFonts w:asciiTheme="majorHAnsi" w:hAnsiTheme="majorHAnsi" w:cs="Times New Roman"/>
                <w:sz w:val="20"/>
                <w:szCs w:val="20"/>
              </w:rPr>
            </w:pPr>
            <w:r w:rsidRPr="00FA6B36">
              <w:rPr>
                <w:rFonts w:asciiTheme="majorHAnsi" w:hAnsiTheme="majorHAnsi" w:cs="Times New Roman"/>
                <w:sz w:val="20"/>
                <w:szCs w:val="20"/>
              </w:rPr>
              <w:t>CAHPS</w:t>
            </w:r>
            <w:r w:rsidR="004512B6">
              <w:rPr>
                <w:rFonts w:asciiTheme="majorHAnsi" w:hAnsiTheme="majorHAnsi" w:cs="Times New Roman"/>
                <w:sz w:val="20"/>
                <w:szCs w:val="20"/>
              </w:rPr>
              <w:t xml:space="preserve"> </w:t>
            </w:r>
            <w:r w:rsidRPr="00FA6B36">
              <w:rPr>
                <w:rFonts w:asciiTheme="majorHAnsi" w:hAnsiTheme="majorHAnsi" w:cs="Times New Roman"/>
                <w:sz w:val="20"/>
                <w:szCs w:val="20"/>
              </w:rPr>
              <w:t>for</w:t>
            </w:r>
            <w:r w:rsidR="004512B6">
              <w:rPr>
                <w:rFonts w:asciiTheme="majorHAnsi" w:hAnsiTheme="majorHAnsi" w:cs="Times New Roman"/>
                <w:sz w:val="20"/>
                <w:szCs w:val="20"/>
              </w:rPr>
              <w:t xml:space="preserve"> </w:t>
            </w:r>
            <w:r w:rsidRPr="00FA6B36">
              <w:rPr>
                <w:rFonts w:asciiTheme="majorHAnsi" w:hAnsiTheme="majorHAnsi" w:cs="Times New Roman"/>
                <w:sz w:val="20"/>
                <w:szCs w:val="20"/>
              </w:rPr>
              <w:t>PQRS</w:t>
            </w:r>
            <w:r w:rsidR="004512B6">
              <w:rPr>
                <w:rFonts w:asciiTheme="majorHAnsi" w:hAnsiTheme="majorHAnsi" w:cs="Times New Roman"/>
                <w:sz w:val="20"/>
                <w:szCs w:val="20"/>
              </w:rPr>
              <w:t xml:space="preserve"> </w:t>
            </w:r>
            <w:r w:rsidRPr="00FA6B36">
              <w:rPr>
                <w:rFonts w:asciiTheme="majorHAnsi" w:hAnsiTheme="majorHAnsi" w:cs="Times New Roman"/>
                <w:sz w:val="20"/>
                <w:szCs w:val="20"/>
              </w:rPr>
              <w:t>does not</w:t>
            </w:r>
            <w:r w:rsidR="004512B6">
              <w:rPr>
                <w:rFonts w:asciiTheme="majorHAnsi" w:hAnsiTheme="majorHAnsi" w:cs="Times New Roman"/>
                <w:sz w:val="20"/>
                <w:szCs w:val="20"/>
              </w:rPr>
              <w:t xml:space="preserve"> </w:t>
            </w:r>
            <w:r w:rsidRPr="00FA6B36">
              <w:rPr>
                <w:rFonts w:asciiTheme="majorHAnsi" w:hAnsiTheme="majorHAnsi" w:cs="Times New Roman"/>
                <w:sz w:val="20"/>
                <w:szCs w:val="20"/>
              </w:rPr>
              <w:t>apply)</w:t>
            </w:r>
          </w:p>
        </w:tc>
        <w:tc>
          <w:tcPr>
            <w:tcW w:w="1350" w:type="dxa"/>
          </w:tcPr>
          <w:p w14:paraId="5611C94C" w14:textId="1F6B2E76"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GPRO Web Interface</w:t>
            </w:r>
          </w:p>
        </w:tc>
        <w:tc>
          <w:tcPr>
            <w:tcW w:w="1170" w:type="dxa"/>
          </w:tcPr>
          <w:p w14:paraId="2433515F" w14:textId="2883744F"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Individual GPRO measures in GPRO Web</w:t>
            </w:r>
          </w:p>
          <w:p w14:paraId="5FC575C9"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 xml:space="preserve">Interface  </w:t>
            </w:r>
          </w:p>
        </w:tc>
        <w:tc>
          <w:tcPr>
            <w:tcW w:w="3960" w:type="dxa"/>
            <w:shd w:val="clear" w:color="auto" w:fill="auto"/>
          </w:tcPr>
          <w:p w14:paraId="243F4254" w14:textId="6BA84C23"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Report o</w:t>
            </w:r>
            <w:r>
              <w:rPr>
                <w:rFonts w:asciiTheme="majorHAnsi" w:hAnsiTheme="majorHAnsi"/>
                <w:sz w:val="20"/>
                <w:szCs w:val="20"/>
              </w:rPr>
              <w:t>n all measures included in the Web I</w:t>
            </w:r>
            <w:r w:rsidRPr="00931A71">
              <w:rPr>
                <w:rFonts w:asciiTheme="majorHAnsi" w:hAnsiTheme="majorHAnsi"/>
                <w:sz w:val="20"/>
                <w:szCs w:val="20"/>
              </w:rPr>
              <w:t>nterface; AND populate data fields for the first 248 consecutively ranked and assigned beneficiaries in the order in which they appear in the group’s sample for each module or preventive care measure. If the pool of eligible assigned beneficiaries is less than 248, then the group practice must report on 100% of assigned beneficiaries. A group practice must report on at least 1 measure for which there is Medicare patient data.</w:t>
            </w:r>
          </w:p>
        </w:tc>
      </w:tr>
      <w:tr w:rsidR="000B0803" w:rsidRPr="00931A71" w14:paraId="7079384C" w14:textId="77777777" w:rsidTr="009B7C30">
        <w:tc>
          <w:tcPr>
            <w:tcW w:w="1170" w:type="dxa"/>
            <w:shd w:val="clear" w:color="auto" w:fill="DBE5F1" w:themeFill="accent1" w:themeFillTint="33"/>
          </w:tcPr>
          <w:p w14:paraId="20F57B63"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12-month</w:t>
            </w:r>
          </w:p>
          <w:p w14:paraId="048B5943"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(Jan 1 —</w:t>
            </w:r>
          </w:p>
          <w:p w14:paraId="70EC2013" w14:textId="0BB031FE"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Dec</w:t>
            </w:r>
            <w:r w:rsidR="00FA6B36">
              <w:rPr>
                <w:rFonts w:asciiTheme="majorHAnsi" w:hAnsiTheme="majorHAnsi"/>
                <w:sz w:val="20"/>
                <w:szCs w:val="20"/>
              </w:rPr>
              <w:t xml:space="preserve"> 31, 2016</w:t>
            </w:r>
            <w:r w:rsidRPr="00931A71">
              <w:rPr>
                <w:rFonts w:asciiTheme="majorHAnsi" w:hAnsiTheme="majorHAnsi"/>
                <w:sz w:val="20"/>
                <w:szCs w:val="20"/>
              </w:rPr>
              <w:t>)</w:t>
            </w:r>
          </w:p>
          <w:p w14:paraId="2D9776B5" w14:textId="77777777" w:rsidR="000B0803" w:rsidRPr="00931A71" w:rsidRDefault="000B0803" w:rsidP="00367585">
            <w:pPr>
              <w:pStyle w:val="NoSpacing"/>
              <w:rPr>
                <w:rFonts w:asciiTheme="majorHAnsi" w:hAnsiTheme="majorHAnsi"/>
                <w:sz w:val="20"/>
                <w:szCs w:val="20"/>
              </w:rPr>
            </w:pPr>
          </w:p>
          <w:p w14:paraId="26B1D6B2" w14:textId="77777777" w:rsidR="000B0803" w:rsidRPr="00931A71" w:rsidRDefault="000B0803" w:rsidP="00367585">
            <w:pPr>
              <w:pStyle w:val="NoSpacing"/>
              <w:rPr>
                <w:rFonts w:asciiTheme="majorHAnsi" w:hAnsiTheme="majorHAnsi"/>
                <w:sz w:val="20"/>
                <w:szCs w:val="20"/>
              </w:rPr>
            </w:pPr>
          </w:p>
        </w:tc>
        <w:tc>
          <w:tcPr>
            <w:tcW w:w="1440" w:type="dxa"/>
            <w:shd w:val="clear" w:color="auto" w:fill="DBE5F1" w:themeFill="accent1" w:themeFillTint="33"/>
          </w:tcPr>
          <w:p w14:paraId="76DDF10F" w14:textId="4B596A56" w:rsidR="004512B6" w:rsidRPr="004512B6" w:rsidRDefault="004512B6" w:rsidP="004512B6">
            <w:pPr>
              <w:widowControl w:val="0"/>
              <w:autoSpaceDE w:val="0"/>
              <w:autoSpaceDN w:val="0"/>
              <w:adjustRightInd w:val="0"/>
              <w:spacing w:after="0" w:line="240" w:lineRule="auto"/>
              <w:rPr>
                <w:rFonts w:asciiTheme="majorHAnsi" w:hAnsiTheme="majorHAnsi" w:cs="Times New Roman"/>
                <w:sz w:val="20"/>
                <w:szCs w:val="20"/>
              </w:rPr>
            </w:pPr>
            <w:r w:rsidRPr="004512B6">
              <w:rPr>
                <w:rFonts w:asciiTheme="majorHAnsi" w:hAnsiTheme="majorHAnsi" w:cs="Times New Roman"/>
                <w:sz w:val="20"/>
                <w:szCs w:val="20"/>
              </w:rPr>
              <w:t>25</w:t>
            </w:r>
            <w:r>
              <w:rPr>
                <w:rFonts w:asciiTheme="majorHAnsi" w:hAnsiTheme="majorHAnsi" w:cs="¿ÕSZˇ"/>
                <w:sz w:val="20"/>
                <w:szCs w:val="20"/>
              </w:rPr>
              <w:t>-</w:t>
            </w:r>
            <w:r w:rsidRPr="004512B6">
              <w:rPr>
                <w:rFonts w:asciiTheme="majorHAnsi" w:hAnsiTheme="majorHAnsi" w:cs="Times New Roman"/>
                <w:sz w:val="20"/>
                <w:szCs w:val="20"/>
              </w:rPr>
              <w:t>99</w:t>
            </w:r>
            <w:r>
              <w:rPr>
                <w:rFonts w:asciiTheme="majorHAnsi" w:hAnsiTheme="majorHAnsi" w:cs="Times New Roman"/>
                <w:sz w:val="20"/>
                <w:szCs w:val="20"/>
              </w:rPr>
              <w:t xml:space="preserve"> </w:t>
            </w:r>
            <w:r w:rsidRPr="004512B6">
              <w:rPr>
                <w:rFonts w:asciiTheme="majorHAnsi" w:hAnsiTheme="majorHAnsi" w:cs="Times New Roman"/>
                <w:sz w:val="20"/>
                <w:szCs w:val="20"/>
              </w:rPr>
              <w:t>EPs that</w:t>
            </w:r>
            <w:r>
              <w:rPr>
                <w:rFonts w:asciiTheme="majorHAnsi" w:hAnsiTheme="majorHAnsi" w:cs="Times New Roman"/>
                <w:sz w:val="20"/>
                <w:szCs w:val="20"/>
              </w:rPr>
              <w:t xml:space="preserve"> e</w:t>
            </w:r>
            <w:r w:rsidRPr="004512B6">
              <w:rPr>
                <w:rFonts w:asciiTheme="majorHAnsi" w:hAnsiTheme="majorHAnsi" w:cs="Times New Roman"/>
                <w:sz w:val="20"/>
                <w:szCs w:val="20"/>
              </w:rPr>
              <w:t>lect</w:t>
            </w:r>
            <w:r>
              <w:rPr>
                <w:rFonts w:asciiTheme="majorHAnsi" w:hAnsiTheme="majorHAnsi" w:cs="Times New Roman"/>
                <w:sz w:val="20"/>
                <w:szCs w:val="20"/>
              </w:rPr>
              <w:t xml:space="preserve"> </w:t>
            </w:r>
            <w:r w:rsidRPr="004512B6">
              <w:rPr>
                <w:rFonts w:asciiTheme="majorHAnsi" w:hAnsiTheme="majorHAnsi" w:cs="Times New Roman"/>
                <w:sz w:val="20"/>
                <w:szCs w:val="20"/>
              </w:rPr>
              <w:t>CAHPS</w:t>
            </w:r>
            <w:r>
              <w:rPr>
                <w:rFonts w:asciiTheme="majorHAnsi" w:hAnsiTheme="majorHAnsi" w:cs="Times New Roman"/>
                <w:sz w:val="20"/>
                <w:szCs w:val="20"/>
              </w:rPr>
              <w:t xml:space="preserve"> </w:t>
            </w:r>
            <w:r w:rsidRPr="004512B6">
              <w:rPr>
                <w:rFonts w:asciiTheme="majorHAnsi" w:hAnsiTheme="majorHAnsi" w:cs="Times New Roman"/>
                <w:sz w:val="20"/>
                <w:szCs w:val="20"/>
              </w:rPr>
              <w:t>for</w:t>
            </w:r>
          </w:p>
          <w:p w14:paraId="3B75BD5E" w14:textId="51D873F2" w:rsidR="004512B6" w:rsidRDefault="004512B6" w:rsidP="004512B6">
            <w:pPr>
              <w:widowControl w:val="0"/>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PQRS</w:t>
            </w:r>
          </w:p>
          <w:p w14:paraId="77E4EF9D" w14:textId="77777777" w:rsidR="004512B6" w:rsidRPr="004512B6" w:rsidRDefault="004512B6" w:rsidP="004512B6">
            <w:pPr>
              <w:widowControl w:val="0"/>
              <w:autoSpaceDE w:val="0"/>
              <w:autoSpaceDN w:val="0"/>
              <w:adjustRightInd w:val="0"/>
              <w:spacing w:after="0" w:line="240" w:lineRule="auto"/>
              <w:rPr>
                <w:rFonts w:asciiTheme="majorHAnsi" w:hAnsiTheme="majorHAnsi" w:cs="Times New Roman"/>
                <w:sz w:val="20"/>
                <w:szCs w:val="20"/>
              </w:rPr>
            </w:pPr>
          </w:p>
          <w:p w14:paraId="32C96F23" w14:textId="0B79AFE1" w:rsidR="000B0803" w:rsidRPr="004512B6" w:rsidRDefault="004512B6" w:rsidP="004512B6">
            <w:pPr>
              <w:widowControl w:val="0"/>
              <w:autoSpaceDE w:val="0"/>
              <w:autoSpaceDN w:val="0"/>
              <w:adjustRightInd w:val="0"/>
              <w:spacing w:after="0" w:line="240" w:lineRule="auto"/>
              <w:rPr>
                <w:rFonts w:asciiTheme="majorHAnsi" w:hAnsiTheme="majorHAnsi" w:cs="Times New Roman"/>
                <w:sz w:val="20"/>
                <w:szCs w:val="20"/>
              </w:rPr>
            </w:pPr>
            <w:r w:rsidRPr="004512B6">
              <w:rPr>
                <w:rFonts w:asciiTheme="majorHAnsi" w:hAnsiTheme="majorHAnsi" w:cs="Times New Roman"/>
                <w:sz w:val="20"/>
                <w:szCs w:val="20"/>
              </w:rPr>
              <w:t>100+</w:t>
            </w:r>
            <w:r>
              <w:rPr>
                <w:rFonts w:asciiTheme="majorHAnsi" w:hAnsiTheme="majorHAnsi" w:cs="Times New Roman"/>
                <w:sz w:val="20"/>
                <w:szCs w:val="20"/>
              </w:rPr>
              <w:t xml:space="preserve"> </w:t>
            </w:r>
            <w:r w:rsidRPr="004512B6">
              <w:rPr>
                <w:rFonts w:asciiTheme="majorHAnsi" w:hAnsiTheme="majorHAnsi" w:cs="Times New Roman"/>
                <w:sz w:val="20"/>
                <w:szCs w:val="20"/>
              </w:rPr>
              <w:t>EPs (if</w:t>
            </w:r>
            <w:r>
              <w:rPr>
                <w:rFonts w:asciiTheme="majorHAnsi" w:hAnsiTheme="majorHAnsi" w:cs="Times New Roman"/>
                <w:sz w:val="20"/>
                <w:szCs w:val="20"/>
              </w:rPr>
              <w:t xml:space="preserve"> </w:t>
            </w:r>
            <w:r w:rsidRPr="004512B6">
              <w:rPr>
                <w:rFonts w:asciiTheme="majorHAnsi" w:hAnsiTheme="majorHAnsi" w:cs="Times New Roman"/>
                <w:sz w:val="20"/>
                <w:szCs w:val="20"/>
              </w:rPr>
              <w:t>CAHPS</w:t>
            </w:r>
            <w:r>
              <w:rPr>
                <w:rFonts w:asciiTheme="majorHAnsi" w:hAnsiTheme="majorHAnsi" w:cs="Times New Roman"/>
                <w:sz w:val="20"/>
                <w:szCs w:val="20"/>
              </w:rPr>
              <w:t xml:space="preserve"> f</w:t>
            </w:r>
            <w:r w:rsidRPr="004512B6">
              <w:rPr>
                <w:rFonts w:asciiTheme="majorHAnsi" w:hAnsiTheme="majorHAnsi" w:cs="Times New Roman"/>
                <w:sz w:val="20"/>
                <w:szCs w:val="20"/>
              </w:rPr>
              <w:t>or</w:t>
            </w:r>
            <w:r>
              <w:rPr>
                <w:rFonts w:asciiTheme="majorHAnsi" w:hAnsiTheme="majorHAnsi" w:cs="Times New Roman"/>
                <w:sz w:val="20"/>
                <w:szCs w:val="20"/>
              </w:rPr>
              <w:t xml:space="preserve"> </w:t>
            </w:r>
            <w:r w:rsidRPr="004512B6">
              <w:rPr>
                <w:rFonts w:asciiTheme="majorHAnsi" w:hAnsiTheme="majorHAnsi" w:cs="Times New Roman"/>
                <w:sz w:val="20"/>
                <w:szCs w:val="20"/>
              </w:rPr>
              <w:t>PQRS</w:t>
            </w:r>
            <w:r>
              <w:rPr>
                <w:rFonts w:asciiTheme="majorHAnsi" w:hAnsiTheme="majorHAnsi" w:cs="Times New Roman"/>
                <w:sz w:val="20"/>
                <w:szCs w:val="20"/>
              </w:rPr>
              <w:t xml:space="preserve"> </w:t>
            </w:r>
            <w:r w:rsidRPr="004512B6">
              <w:rPr>
                <w:rFonts w:asciiTheme="majorHAnsi" w:hAnsiTheme="majorHAnsi" w:cs="Times New Roman"/>
                <w:sz w:val="20"/>
                <w:szCs w:val="20"/>
              </w:rPr>
              <w:t>applies)</w:t>
            </w:r>
          </w:p>
        </w:tc>
        <w:tc>
          <w:tcPr>
            <w:tcW w:w="1350" w:type="dxa"/>
            <w:shd w:val="clear" w:color="auto" w:fill="DBE5F1" w:themeFill="accent1" w:themeFillTint="33"/>
          </w:tcPr>
          <w:p w14:paraId="6DE21664"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GPRO Web</w:t>
            </w:r>
          </w:p>
          <w:p w14:paraId="1581FD02"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Interface +</w:t>
            </w:r>
          </w:p>
          <w:p w14:paraId="36D3E0D0" w14:textId="44274F5E"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CMS Certified</w:t>
            </w:r>
            <w:r>
              <w:rPr>
                <w:rFonts w:asciiTheme="majorHAnsi" w:hAnsiTheme="majorHAnsi"/>
                <w:sz w:val="20"/>
                <w:szCs w:val="20"/>
              </w:rPr>
              <w:t xml:space="preserve"> CAHPS</w:t>
            </w:r>
          </w:p>
          <w:p w14:paraId="7964500B"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Survey</w:t>
            </w:r>
          </w:p>
          <w:p w14:paraId="3B7243A0" w14:textId="185FB6F3"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Vendor</w:t>
            </w:r>
          </w:p>
        </w:tc>
        <w:tc>
          <w:tcPr>
            <w:tcW w:w="1170" w:type="dxa"/>
            <w:shd w:val="clear" w:color="auto" w:fill="DBE5F1" w:themeFill="accent1" w:themeFillTint="33"/>
          </w:tcPr>
          <w:p w14:paraId="74B9615C" w14:textId="03645735"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Individual</w:t>
            </w:r>
          </w:p>
          <w:p w14:paraId="06D909DA"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GPRO</w:t>
            </w:r>
          </w:p>
          <w:p w14:paraId="4F5B9463"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measures in the GPRO</w:t>
            </w:r>
          </w:p>
          <w:p w14:paraId="0758698B"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Web</w:t>
            </w:r>
          </w:p>
          <w:p w14:paraId="65D5A939"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Interface +</w:t>
            </w:r>
          </w:p>
          <w:p w14:paraId="50C9E498"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CAHPS for</w:t>
            </w:r>
          </w:p>
          <w:p w14:paraId="6C5382D8"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PQRS</w:t>
            </w:r>
          </w:p>
        </w:tc>
        <w:tc>
          <w:tcPr>
            <w:tcW w:w="3960" w:type="dxa"/>
            <w:shd w:val="clear" w:color="auto" w:fill="DBE5F1" w:themeFill="accent1" w:themeFillTint="33"/>
          </w:tcPr>
          <w:p w14:paraId="025D915C" w14:textId="77777777" w:rsidR="000B0803" w:rsidRDefault="001A7A33" w:rsidP="00367585">
            <w:pPr>
              <w:pStyle w:val="NoSpacing"/>
              <w:rPr>
                <w:rFonts w:asciiTheme="majorHAnsi" w:hAnsiTheme="majorHAnsi"/>
                <w:sz w:val="20"/>
                <w:szCs w:val="20"/>
              </w:rPr>
            </w:pPr>
            <w:r>
              <w:rPr>
                <w:rFonts w:asciiTheme="majorHAnsi" w:hAnsiTheme="majorHAnsi"/>
                <w:sz w:val="20"/>
                <w:szCs w:val="20"/>
              </w:rPr>
              <w:t xml:space="preserve">The </w:t>
            </w:r>
            <w:r w:rsidR="000B0803" w:rsidRPr="00931A71">
              <w:rPr>
                <w:rFonts w:asciiTheme="majorHAnsi" w:hAnsiTheme="majorHAnsi"/>
                <w:sz w:val="20"/>
                <w:szCs w:val="20"/>
              </w:rPr>
              <w:t>group practice must report on all measures included in the GPRO Web Interface; AND populate data fields for the first 248 consecutively ranked and assigned beneficiaries in the order in which they appear in the group’s sample for each module or preventive care measure. If the pool of eligible assigned beneficiaries is less than 248, then the group practice must report on 100% of assigned beneficiaries. A group practice will be required to report on at least 1 measure for which there is Medicare patient data.</w:t>
            </w:r>
          </w:p>
          <w:p w14:paraId="5A9E1E48" w14:textId="77777777" w:rsidR="001A7A33" w:rsidRDefault="001A7A33" w:rsidP="00367585">
            <w:pPr>
              <w:pStyle w:val="NoSpacing"/>
              <w:rPr>
                <w:rFonts w:asciiTheme="majorHAnsi" w:hAnsiTheme="majorHAnsi"/>
                <w:sz w:val="20"/>
                <w:szCs w:val="20"/>
              </w:rPr>
            </w:pPr>
          </w:p>
          <w:p w14:paraId="4E3FB47D" w14:textId="46BCF23C" w:rsidR="004512B6" w:rsidRDefault="004512B6" w:rsidP="004512B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the CAHPS for PQRS survey is</w:t>
            </w:r>
          </w:p>
          <w:p w14:paraId="580C71DE" w14:textId="294FE228" w:rsidR="001A7A33" w:rsidRPr="004512B6" w:rsidRDefault="004512B6" w:rsidP="004512B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applicable</w:t>
            </w:r>
            <w:proofErr w:type="gramEnd"/>
            <w:r>
              <w:rPr>
                <w:rFonts w:ascii="Times New Roman" w:hAnsi="Times New Roman" w:cs="Times New Roman"/>
                <w:sz w:val="20"/>
                <w:szCs w:val="20"/>
              </w:rPr>
              <w:t xml:space="preserve"> to a group practice of 100+ EPs who reports quality measures via the Web Interface, the group practice must administer the CAHPS for PQRS survey in addition to reporting the Web Interface measures. </w:t>
            </w:r>
          </w:p>
        </w:tc>
      </w:tr>
      <w:tr w:rsidR="000B0803" w:rsidRPr="00931A71" w14:paraId="2034826C" w14:textId="77777777" w:rsidTr="000B0803">
        <w:tc>
          <w:tcPr>
            <w:tcW w:w="1170" w:type="dxa"/>
            <w:shd w:val="clear" w:color="auto" w:fill="auto"/>
          </w:tcPr>
          <w:p w14:paraId="7571B5F7" w14:textId="24C95F09"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12-month  (Jan 1 —</w:t>
            </w:r>
          </w:p>
          <w:p w14:paraId="265EB666" w14:textId="553E10DD" w:rsidR="000B0803"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0B0803" w:rsidRPr="00931A71">
              <w:rPr>
                <w:rFonts w:asciiTheme="majorHAnsi" w:hAnsiTheme="majorHAnsi"/>
                <w:sz w:val="20"/>
                <w:szCs w:val="20"/>
              </w:rPr>
              <w:t>)</w:t>
            </w:r>
          </w:p>
        </w:tc>
        <w:tc>
          <w:tcPr>
            <w:tcW w:w="1440" w:type="dxa"/>
          </w:tcPr>
          <w:p w14:paraId="4FF78DDE" w14:textId="77777777" w:rsidR="000B0803" w:rsidRDefault="000B0803" w:rsidP="00367585">
            <w:pPr>
              <w:pStyle w:val="NoSpacing"/>
              <w:rPr>
                <w:rFonts w:asciiTheme="majorHAnsi" w:hAnsiTheme="majorHAnsi"/>
                <w:sz w:val="20"/>
                <w:szCs w:val="20"/>
              </w:rPr>
            </w:pPr>
            <w:r w:rsidRPr="00931A71">
              <w:rPr>
                <w:rFonts w:asciiTheme="majorHAnsi" w:hAnsiTheme="majorHAnsi"/>
                <w:sz w:val="20"/>
                <w:szCs w:val="20"/>
              </w:rPr>
              <w:t>2-99 EPs</w:t>
            </w:r>
          </w:p>
          <w:p w14:paraId="670A69EB" w14:textId="77777777" w:rsidR="004512B6" w:rsidRDefault="004512B6" w:rsidP="00367585">
            <w:pPr>
              <w:pStyle w:val="NoSpacing"/>
              <w:rPr>
                <w:rFonts w:asciiTheme="majorHAnsi" w:hAnsiTheme="majorHAnsi"/>
                <w:sz w:val="20"/>
                <w:szCs w:val="20"/>
              </w:rPr>
            </w:pPr>
          </w:p>
          <w:p w14:paraId="158E4845" w14:textId="77777777" w:rsidR="004512B6" w:rsidRPr="00FA6B36" w:rsidRDefault="004512B6" w:rsidP="004512B6">
            <w:pPr>
              <w:widowControl w:val="0"/>
              <w:autoSpaceDE w:val="0"/>
              <w:autoSpaceDN w:val="0"/>
              <w:adjustRightInd w:val="0"/>
              <w:spacing w:after="0" w:line="240" w:lineRule="auto"/>
              <w:rPr>
                <w:rFonts w:asciiTheme="majorHAnsi" w:hAnsiTheme="majorHAnsi" w:cs="Times New Roman"/>
                <w:sz w:val="20"/>
                <w:szCs w:val="20"/>
              </w:rPr>
            </w:pPr>
            <w:r w:rsidRPr="00FA6B36">
              <w:rPr>
                <w:rFonts w:asciiTheme="majorHAnsi" w:hAnsiTheme="majorHAnsi" w:cs="Times New Roman"/>
                <w:sz w:val="20"/>
                <w:szCs w:val="20"/>
              </w:rPr>
              <w:t>100+</w:t>
            </w:r>
            <w:r>
              <w:rPr>
                <w:rFonts w:asciiTheme="majorHAnsi" w:hAnsiTheme="majorHAnsi" w:cs="Times New Roman"/>
                <w:sz w:val="20"/>
                <w:szCs w:val="20"/>
              </w:rPr>
              <w:t xml:space="preserve"> </w:t>
            </w:r>
            <w:r w:rsidRPr="00FA6B36">
              <w:rPr>
                <w:rFonts w:asciiTheme="majorHAnsi" w:hAnsiTheme="majorHAnsi" w:cs="Times New Roman"/>
                <w:sz w:val="20"/>
                <w:szCs w:val="20"/>
              </w:rPr>
              <w:t>EPs (if</w:t>
            </w:r>
          </w:p>
          <w:p w14:paraId="1A882FAA" w14:textId="0E774820" w:rsidR="004512B6" w:rsidRPr="00931A71" w:rsidRDefault="004512B6" w:rsidP="004512B6">
            <w:pPr>
              <w:pStyle w:val="NoSpacing"/>
              <w:rPr>
                <w:rFonts w:asciiTheme="majorHAnsi" w:hAnsiTheme="majorHAnsi"/>
                <w:sz w:val="20"/>
                <w:szCs w:val="20"/>
              </w:rPr>
            </w:pPr>
            <w:r w:rsidRPr="00FA6B36">
              <w:rPr>
                <w:rFonts w:asciiTheme="majorHAnsi" w:hAnsiTheme="majorHAnsi" w:cs="Times New Roman"/>
                <w:sz w:val="20"/>
                <w:szCs w:val="20"/>
              </w:rPr>
              <w:t>CAHPS</w:t>
            </w:r>
            <w:r>
              <w:rPr>
                <w:rFonts w:asciiTheme="majorHAnsi" w:hAnsiTheme="majorHAnsi" w:cs="Times New Roman"/>
                <w:sz w:val="20"/>
                <w:szCs w:val="20"/>
              </w:rPr>
              <w:t xml:space="preserve"> </w:t>
            </w:r>
            <w:r w:rsidRPr="00FA6B36">
              <w:rPr>
                <w:rFonts w:asciiTheme="majorHAnsi" w:hAnsiTheme="majorHAnsi" w:cs="Times New Roman"/>
                <w:sz w:val="20"/>
                <w:szCs w:val="20"/>
              </w:rPr>
              <w:t>for</w:t>
            </w:r>
            <w:r>
              <w:rPr>
                <w:rFonts w:asciiTheme="majorHAnsi" w:hAnsiTheme="majorHAnsi" w:cs="Times New Roman"/>
                <w:sz w:val="20"/>
                <w:szCs w:val="20"/>
              </w:rPr>
              <w:t xml:space="preserve"> </w:t>
            </w:r>
            <w:r w:rsidRPr="00FA6B36">
              <w:rPr>
                <w:rFonts w:asciiTheme="majorHAnsi" w:hAnsiTheme="majorHAnsi" w:cs="Times New Roman"/>
                <w:sz w:val="20"/>
                <w:szCs w:val="20"/>
              </w:rPr>
              <w:t>PQRS</w:t>
            </w:r>
            <w:r>
              <w:rPr>
                <w:rFonts w:asciiTheme="majorHAnsi" w:hAnsiTheme="majorHAnsi" w:cs="Times New Roman"/>
                <w:sz w:val="20"/>
                <w:szCs w:val="20"/>
              </w:rPr>
              <w:t xml:space="preserve"> </w:t>
            </w:r>
            <w:r w:rsidRPr="00FA6B36">
              <w:rPr>
                <w:rFonts w:asciiTheme="majorHAnsi" w:hAnsiTheme="majorHAnsi" w:cs="Times New Roman"/>
                <w:sz w:val="20"/>
                <w:szCs w:val="20"/>
              </w:rPr>
              <w:t>does not</w:t>
            </w:r>
            <w:r>
              <w:rPr>
                <w:rFonts w:asciiTheme="majorHAnsi" w:hAnsiTheme="majorHAnsi" w:cs="Times New Roman"/>
                <w:sz w:val="20"/>
                <w:szCs w:val="20"/>
              </w:rPr>
              <w:t xml:space="preserve"> </w:t>
            </w:r>
            <w:r w:rsidRPr="00FA6B36">
              <w:rPr>
                <w:rFonts w:asciiTheme="majorHAnsi" w:hAnsiTheme="majorHAnsi" w:cs="Times New Roman"/>
                <w:sz w:val="20"/>
                <w:szCs w:val="20"/>
              </w:rPr>
              <w:t>apply)</w:t>
            </w:r>
          </w:p>
        </w:tc>
        <w:tc>
          <w:tcPr>
            <w:tcW w:w="1350" w:type="dxa"/>
          </w:tcPr>
          <w:p w14:paraId="75682802" w14:textId="2AFA52FC"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Qualified Registry</w:t>
            </w:r>
          </w:p>
        </w:tc>
        <w:tc>
          <w:tcPr>
            <w:tcW w:w="1170" w:type="dxa"/>
          </w:tcPr>
          <w:p w14:paraId="7599409B" w14:textId="299933E2"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Individual</w:t>
            </w:r>
          </w:p>
          <w:p w14:paraId="13506ED3"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Measures</w:t>
            </w:r>
          </w:p>
        </w:tc>
        <w:tc>
          <w:tcPr>
            <w:tcW w:w="3960" w:type="dxa"/>
            <w:shd w:val="clear" w:color="auto" w:fill="auto"/>
          </w:tcPr>
          <w:p w14:paraId="2E4ECDA8" w14:textId="1116AAED"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Report at least 9 measures covering at least 3 NQS domains, including 1 cross-cutting measure, AND report each measure for at least 50% of the Medicare Part B FFS patients seen during the reporting period to which the measure applies.  If less than 9 measures apply, report 1-8 measures covering 1-3 NQS domains, but subject to MAV</w:t>
            </w:r>
            <w:proofErr w:type="gramStart"/>
            <w:r w:rsidRPr="00931A71">
              <w:rPr>
                <w:rFonts w:asciiTheme="majorHAnsi" w:hAnsiTheme="majorHAnsi"/>
                <w:sz w:val="20"/>
                <w:szCs w:val="20"/>
              </w:rPr>
              <w:t>.</w:t>
            </w:r>
            <w:r w:rsidR="004512B6" w:rsidRPr="004512B6">
              <w:rPr>
                <w:rFonts w:asciiTheme="majorHAnsi" w:hAnsiTheme="majorHAnsi"/>
                <w:sz w:val="20"/>
                <w:szCs w:val="20"/>
                <w:vertAlign w:val="superscript"/>
              </w:rPr>
              <w:t>+</w:t>
            </w:r>
            <w:proofErr w:type="gramEnd"/>
            <w:r w:rsidRPr="00931A71">
              <w:rPr>
                <w:rFonts w:asciiTheme="majorHAnsi" w:hAnsiTheme="majorHAnsi"/>
                <w:sz w:val="20"/>
                <w:szCs w:val="20"/>
              </w:rPr>
              <w:t xml:space="preserve"> </w:t>
            </w:r>
            <w:r w:rsidRPr="00931A71">
              <w:rPr>
                <w:rFonts w:asciiTheme="majorHAnsi" w:hAnsiTheme="majorHAnsi"/>
                <w:spacing w:val="-1"/>
                <w:sz w:val="20"/>
                <w:szCs w:val="20"/>
              </w:rPr>
              <w:t>Measures with a 0 performance</w:t>
            </w:r>
            <w:r w:rsidRPr="00931A71">
              <w:rPr>
                <w:rFonts w:asciiTheme="majorHAnsi" w:hAnsiTheme="majorHAnsi"/>
                <w:spacing w:val="-11"/>
                <w:sz w:val="20"/>
                <w:szCs w:val="20"/>
              </w:rPr>
              <w:t xml:space="preserve"> </w:t>
            </w:r>
            <w:r w:rsidRPr="00931A71">
              <w:rPr>
                <w:rFonts w:asciiTheme="majorHAnsi" w:hAnsiTheme="majorHAnsi"/>
                <w:spacing w:val="-1"/>
                <w:sz w:val="20"/>
                <w:szCs w:val="20"/>
              </w:rPr>
              <w:t>rate</w:t>
            </w:r>
            <w:r w:rsidRPr="00931A71">
              <w:rPr>
                <w:rFonts w:asciiTheme="majorHAnsi" w:hAnsiTheme="majorHAnsi"/>
                <w:sz w:val="20"/>
                <w:szCs w:val="20"/>
              </w:rPr>
              <w:t xml:space="preserve"> </w:t>
            </w:r>
            <w:r w:rsidRPr="00931A71">
              <w:rPr>
                <w:rFonts w:asciiTheme="majorHAnsi" w:hAnsiTheme="majorHAnsi"/>
                <w:spacing w:val="-1"/>
                <w:sz w:val="20"/>
                <w:szCs w:val="20"/>
              </w:rPr>
              <w:t>will not</w:t>
            </w:r>
            <w:r w:rsidRPr="00931A71">
              <w:rPr>
                <w:rFonts w:asciiTheme="majorHAnsi" w:hAnsiTheme="majorHAnsi"/>
                <w:spacing w:val="-2"/>
                <w:sz w:val="20"/>
                <w:szCs w:val="20"/>
              </w:rPr>
              <w:t xml:space="preserve"> </w:t>
            </w:r>
            <w:r w:rsidRPr="00931A71">
              <w:rPr>
                <w:rFonts w:asciiTheme="majorHAnsi" w:hAnsiTheme="majorHAnsi"/>
                <w:sz w:val="20"/>
                <w:szCs w:val="20"/>
              </w:rPr>
              <w:t xml:space="preserve">be </w:t>
            </w:r>
            <w:r w:rsidRPr="00931A71">
              <w:rPr>
                <w:rFonts w:asciiTheme="majorHAnsi" w:hAnsiTheme="majorHAnsi"/>
                <w:spacing w:val="-1"/>
                <w:sz w:val="20"/>
                <w:szCs w:val="20"/>
              </w:rPr>
              <w:t>counted.</w:t>
            </w:r>
            <w:r w:rsidRPr="00931A71">
              <w:rPr>
                <w:rFonts w:asciiTheme="majorHAnsi" w:hAnsiTheme="majorHAnsi"/>
                <w:sz w:val="20"/>
                <w:szCs w:val="20"/>
              </w:rPr>
              <w:t xml:space="preserve"> </w:t>
            </w:r>
          </w:p>
        </w:tc>
      </w:tr>
      <w:tr w:rsidR="000B0803" w:rsidRPr="00931A71" w14:paraId="24A21BE5" w14:textId="77777777" w:rsidTr="009B7C30">
        <w:tc>
          <w:tcPr>
            <w:tcW w:w="1170" w:type="dxa"/>
            <w:shd w:val="clear" w:color="auto" w:fill="DBE5F1" w:themeFill="accent1" w:themeFillTint="33"/>
          </w:tcPr>
          <w:p w14:paraId="197C1B4A"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12-month  (Jan 1 —</w:t>
            </w:r>
          </w:p>
          <w:p w14:paraId="492FA63F" w14:textId="7C253C02" w:rsidR="000B0803"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0B0803" w:rsidRPr="00931A71">
              <w:rPr>
                <w:rFonts w:asciiTheme="majorHAnsi" w:hAnsiTheme="majorHAnsi"/>
                <w:sz w:val="20"/>
                <w:szCs w:val="20"/>
              </w:rPr>
              <w:t>)</w:t>
            </w:r>
          </w:p>
        </w:tc>
        <w:tc>
          <w:tcPr>
            <w:tcW w:w="1440" w:type="dxa"/>
            <w:shd w:val="clear" w:color="auto" w:fill="DBE5F1" w:themeFill="accent1" w:themeFillTint="33"/>
          </w:tcPr>
          <w:p w14:paraId="5A2765B2" w14:textId="20690AB7" w:rsidR="00305C4B" w:rsidRDefault="000B0803" w:rsidP="00367585">
            <w:pPr>
              <w:pStyle w:val="NoSpacing"/>
              <w:rPr>
                <w:rFonts w:asciiTheme="majorHAnsi" w:hAnsiTheme="majorHAnsi"/>
                <w:sz w:val="20"/>
                <w:szCs w:val="20"/>
              </w:rPr>
            </w:pPr>
            <w:r w:rsidRPr="00931A71">
              <w:rPr>
                <w:rFonts w:asciiTheme="majorHAnsi" w:hAnsiTheme="majorHAnsi"/>
                <w:sz w:val="20"/>
                <w:szCs w:val="20"/>
              </w:rPr>
              <w:t>2-99</w:t>
            </w:r>
            <w:r w:rsidR="00305C4B">
              <w:rPr>
                <w:rFonts w:asciiTheme="majorHAnsi" w:hAnsiTheme="majorHAnsi"/>
                <w:sz w:val="20"/>
                <w:szCs w:val="20"/>
              </w:rPr>
              <w:t xml:space="preserve"> </w:t>
            </w:r>
            <w:r w:rsidRPr="00931A71">
              <w:rPr>
                <w:rFonts w:asciiTheme="majorHAnsi" w:hAnsiTheme="majorHAnsi"/>
                <w:sz w:val="20"/>
                <w:szCs w:val="20"/>
              </w:rPr>
              <w:t>EPs</w:t>
            </w:r>
            <w:r w:rsidR="004512B6">
              <w:rPr>
                <w:rFonts w:asciiTheme="majorHAnsi" w:hAnsiTheme="majorHAnsi"/>
                <w:sz w:val="20"/>
                <w:szCs w:val="20"/>
              </w:rPr>
              <w:t xml:space="preserve"> that elect CAHPS for PQRS </w:t>
            </w:r>
            <w:r w:rsidRPr="00931A71">
              <w:rPr>
                <w:rFonts w:asciiTheme="majorHAnsi" w:hAnsiTheme="majorHAnsi"/>
                <w:sz w:val="20"/>
                <w:szCs w:val="20"/>
              </w:rPr>
              <w:t xml:space="preserve"> </w:t>
            </w:r>
          </w:p>
          <w:p w14:paraId="3F60074D" w14:textId="78CCC972" w:rsidR="000B0803" w:rsidRPr="00931A71" w:rsidRDefault="000B0803" w:rsidP="00367585">
            <w:pPr>
              <w:pStyle w:val="NoSpacing"/>
              <w:rPr>
                <w:rFonts w:asciiTheme="majorHAnsi" w:hAnsiTheme="majorHAnsi"/>
                <w:sz w:val="20"/>
                <w:szCs w:val="20"/>
              </w:rPr>
            </w:pPr>
          </w:p>
          <w:p w14:paraId="74753A46" w14:textId="6971F39C"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lastRenderedPageBreak/>
              <w:t>100+</w:t>
            </w:r>
            <w:r w:rsidR="00305C4B">
              <w:rPr>
                <w:rFonts w:asciiTheme="majorHAnsi" w:hAnsiTheme="majorHAnsi"/>
                <w:sz w:val="20"/>
                <w:szCs w:val="20"/>
              </w:rPr>
              <w:t xml:space="preserve"> </w:t>
            </w:r>
            <w:r w:rsidRPr="00931A71">
              <w:rPr>
                <w:rFonts w:asciiTheme="majorHAnsi" w:hAnsiTheme="majorHAnsi"/>
                <w:sz w:val="20"/>
                <w:szCs w:val="20"/>
              </w:rPr>
              <w:t>EPs</w:t>
            </w:r>
            <w:r w:rsidR="004512B6">
              <w:rPr>
                <w:rFonts w:asciiTheme="majorHAnsi" w:hAnsiTheme="majorHAnsi"/>
                <w:sz w:val="20"/>
                <w:szCs w:val="20"/>
              </w:rPr>
              <w:t xml:space="preserve"> (if CAHPS for PQRS applies)</w:t>
            </w:r>
          </w:p>
        </w:tc>
        <w:tc>
          <w:tcPr>
            <w:tcW w:w="1350" w:type="dxa"/>
            <w:shd w:val="clear" w:color="auto" w:fill="DBE5F1" w:themeFill="accent1" w:themeFillTint="33"/>
          </w:tcPr>
          <w:p w14:paraId="604E44B1"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lastRenderedPageBreak/>
              <w:t>Qualified</w:t>
            </w:r>
          </w:p>
          <w:p w14:paraId="35AE2E84"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Registry +</w:t>
            </w:r>
          </w:p>
          <w:p w14:paraId="763B4D39"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CMS Certified</w:t>
            </w:r>
          </w:p>
          <w:p w14:paraId="5C0E8AA7"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Survey</w:t>
            </w:r>
          </w:p>
          <w:p w14:paraId="55CA528D" w14:textId="34EA07C1"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lastRenderedPageBreak/>
              <w:t>Vendor</w:t>
            </w:r>
          </w:p>
        </w:tc>
        <w:tc>
          <w:tcPr>
            <w:tcW w:w="1170" w:type="dxa"/>
            <w:shd w:val="clear" w:color="auto" w:fill="DBE5F1" w:themeFill="accent1" w:themeFillTint="33"/>
          </w:tcPr>
          <w:p w14:paraId="50497315" w14:textId="37D3DCCC"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lastRenderedPageBreak/>
              <w:t>Individual</w:t>
            </w:r>
          </w:p>
          <w:p w14:paraId="2CD0DCF3"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Measures +</w:t>
            </w:r>
          </w:p>
          <w:p w14:paraId="63B91477"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CAHPS for</w:t>
            </w:r>
          </w:p>
          <w:p w14:paraId="4E53104A"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PQRS</w:t>
            </w:r>
          </w:p>
        </w:tc>
        <w:tc>
          <w:tcPr>
            <w:tcW w:w="3960" w:type="dxa"/>
            <w:shd w:val="clear" w:color="auto" w:fill="DBE5F1" w:themeFill="accent1" w:themeFillTint="33"/>
          </w:tcPr>
          <w:p w14:paraId="5962213E" w14:textId="7A167148" w:rsidR="00305C4B" w:rsidRPr="00931A71" w:rsidRDefault="000B0803" w:rsidP="004512B6">
            <w:pPr>
              <w:pStyle w:val="NoSpacing"/>
              <w:rPr>
                <w:rFonts w:asciiTheme="majorHAnsi" w:hAnsiTheme="majorHAnsi"/>
                <w:sz w:val="20"/>
                <w:szCs w:val="20"/>
              </w:rPr>
            </w:pPr>
            <w:r w:rsidRPr="00931A71">
              <w:rPr>
                <w:rFonts w:asciiTheme="majorHAnsi" w:hAnsiTheme="majorHAnsi"/>
                <w:sz w:val="20"/>
                <w:szCs w:val="20"/>
              </w:rPr>
              <w:t xml:space="preserve">The group practice must have all CAHPS for PQRS survey measures reported on its behalf via a CMS-certified survey vendor, and report at least 6 additional measures, outside of CAHPS for PQRS, covering at </w:t>
            </w:r>
            <w:r w:rsidRPr="00931A71">
              <w:rPr>
                <w:rFonts w:asciiTheme="majorHAnsi" w:hAnsiTheme="majorHAnsi"/>
                <w:sz w:val="20"/>
                <w:szCs w:val="20"/>
              </w:rPr>
              <w:lastRenderedPageBreak/>
              <w:t>least 2 of the NQS domains using the qualified registry. If less than 6 measures apply to the group practice, the group practice must report up to 5 measures. Of the additional measures that must be reported in conjunction with reporting the CAHPS for PQRS survey measures, the group practice must report on at least 1 measure in the cross-cutting measure set.</w:t>
            </w:r>
          </w:p>
        </w:tc>
      </w:tr>
      <w:tr w:rsidR="0025107C" w:rsidRPr="00931A71" w14:paraId="7325B2F8" w14:textId="77777777" w:rsidTr="000B0803">
        <w:tc>
          <w:tcPr>
            <w:tcW w:w="1170" w:type="dxa"/>
            <w:shd w:val="clear" w:color="auto" w:fill="auto"/>
          </w:tcPr>
          <w:p w14:paraId="3E0D3E2F" w14:textId="77777777"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lastRenderedPageBreak/>
              <w:t>12-month</w:t>
            </w:r>
          </w:p>
          <w:p w14:paraId="1D1764C6" w14:textId="77777777"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(Jan 1 —</w:t>
            </w:r>
          </w:p>
          <w:p w14:paraId="2581AF49" w14:textId="238D2BEF"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 xml:space="preserve">Dec </w:t>
            </w:r>
            <w:r w:rsidR="00FA6B36">
              <w:rPr>
                <w:rFonts w:asciiTheme="majorHAnsi" w:hAnsiTheme="majorHAnsi"/>
                <w:sz w:val="20"/>
                <w:szCs w:val="20"/>
              </w:rPr>
              <w:t>31, 2016</w:t>
            </w:r>
            <w:r w:rsidRPr="00931A71">
              <w:rPr>
                <w:rFonts w:asciiTheme="majorHAnsi" w:hAnsiTheme="majorHAnsi"/>
                <w:sz w:val="20"/>
                <w:szCs w:val="20"/>
              </w:rPr>
              <w:t>)</w:t>
            </w:r>
          </w:p>
          <w:p w14:paraId="771AF357" w14:textId="77777777" w:rsidR="0025107C" w:rsidRPr="00931A71" w:rsidRDefault="0025107C" w:rsidP="00367585">
            <w:pPr>
              <w:pStyle w:val="NoSpacing"/>
              <w:rPr>
                <w:rFonts w:asciiTheme="majorHAnsi" w:hAnsiTheme="majorHAnsi"/>
                <w:sz w:val="20"/>
                <w:szCs w:val="20"/>
              </w:rPr>
            </w:pPr>
          </w:p>
        </w:tc>
        <w:tc>
          <w:tcPr>
            <w:tcW w:w="1440" w:type="dxa"/>
          </w:tcPr>
          <w:p w14:paraId="3007FADF" w14:textId="77777777" w:rsidR="0025107C" w:rsidRDefault="0025107C" w:rsidP="00367585">
            <w:pPr>
              <w:pStyle w:val="NoSpacing"/>
              <w:rPr>
                <w:rFonts w:asciiTheme="majorHAnsi" w:hAnsiTheme="majorHAnsi"/>
                <w:sz w:val="20"/>
                <w:szCs w:val="20"/>
              </w:rPr>
            </w:pPr>
            <w:r>
              <w:rPr>
                <w:rFonts w:asciiTheme="majorHAnsi" w:hAnsiTheme="majorHAnsi"/>
                <w:sz w:val="20"/>
                <w:szCs w:val="20"/>
              </w:rPr>
              <w:t>2-99 EPs</w:t>
            </w:r>
          </w:p>
          <w:p w14:paraId="3D300E29" w14:textId="77777777" w:rsidR="004512B6" w:rsidRDefault="004512B6" w:rsidP="00367585">
            <w:pPr>
              <w:pStyle w:val="NoSpacing"/>
              <w:rPr>
                <w:rFonts w:asciiTheme="majorHAnsi" w:hAnsiTheme="majorHAnsi"/>
                <w:sz w:val="20"/>
                <w:szCs w:val="20"/>
              </w:rPr>
            </w:pPr>
          </w:p>
          <w:p w14:paraId="779C09DE" w14:textId="2911A66A" w:rsidR="004512B6" w:rsidRPr="00FA6B36" w:rsidRDefault="004512B6" w:rsidP="004512B6">
            <w:pPr>
              <w:widowControl w:val="0"/>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 xml:space="preserve">100+ EPs </w:t>
            </w:r>
            <w:r w:rsidRPr="00FA6B36">
              <w:rPr>
                <w:rFonts w:asciiTheme="majorHAnsi" w:hAnsiTheme="majorHAnsi" w:cs="Times New Roman"/>
                <w:sz w:val="20"/>
                <w:szCs w:val="20"/>
              </w:rPr>
              <w:t>(if</w:t>
            </w:r>
          </w:p>
          <w:p w14:paraId="5FF64DBC" w14:textId="383374B9" w:rsidR="004512B6" w:rsidRPr="00931A71" w:rsidRDefault="004512B6" w:rsidP="004512B6">
            <w:pPr>
              <w:pStyle w:val="NoSpacing"/>
              <w:rPr>
                <w:rFonts w:asciiTheme="majorHAnsi" w:hAnsiTheme="majorHAnsi"/>
                <w:sz w:val="20"/>
                <w:szCs w:val="20"/>
              </w:rPr>
            </w:pPr>
            <w:r w:rsidRPr="00FA6B36">
              <w:rPr>
                <w:rFonts w:asciiTheme="majorHAnsi" w:hAnsiTheme="majorHAnsi" w:cs="Times New Roman"/>
                <w:sz w:val="20"/>
                <w:szCs w:val="20"/>
              </w:rPr>
              <w:t>CAHPS</w:t>
            </w:r>
            <w:r>
              <w:rPr>
                <w:rFonts w:asciiTheme="majorHAnsi" w:hAnsiTheme="majorHAnsi" w:cs="Times New Roman"/>
                <w:sz w:val="20"/>
                <w:szCs w:val="20"/>
              </w:rPr>
              <w:t xml:space="preserve"> </w:t>
            </w:r>
            <w:r w:rsidRPr="00FA6B36">
              <w:rPr>
                <w:rFonts w:asciiTheme="majorHAnsi" w:hAnsiTheme="majorHAnsi" w:cs="Times New Roman"/>
                <w:sz w:val="20"/>
                <w:szCs w:val="20"/>
              </w:rPr>
              <w:t>for</w:t>
            </w:r>
            <w:r>
              <w:rPr>
                <w:rFonts w:asciiTheme="majorHAnsi" w:hAnsiTheme="majorHAnsi" w:cs="Times New Roman"/>
                <w:sz w:val="20"/>
                <w:szCs w:val="20"/>
              </w:rPr>
              <w:t xml:space="preserve"> </w:t>
            </w:r>
            <w:r w:rsidRPr="00FA6B36">
              <w:rPr>
                <w:rFonts w:asciiTheme="majorHAnsi" w:hAnsiTheme="majorHAnsi" w:cs="Times New Roman"/>
                <w:sz w:val="20"/>
                <w:szCs w:val="20"/>
              </w:rPr>
              <w:t>PQRS</w:t>
            </w:r>
            <w:r>
              <w:rPr>
                <w:rFonts w:asciiTheme="majorHAnsi" w:hAnsiTheme="majorHAnsi" w:cs="Times New Roman"/>
                <w:sz w:val="20"/>
                <w:szCs w:val="20"/>
              </w:rPr>
              <w:t xml:space="preserve"> </w:t>
            </w:r>
            <w:r w:rsidRPr="00FA6B36">
              <w:rPr>
                <w:rFonts w:asciiTheme="majorHAnsi" w:hAnsiTheme="majorHAnsi" w:cs="Times New Roman"/>
                <w:sz w:val="20"/>
                <w:szCs w:val="20"/>
              </w:rPr>
              <w:t>does not</w:t>
            </w:r>
            <w:r>
              <w:rPr>
                <w:rFonts w:asciiTheme="majorHAnsi" w:hAnsiTheme="majorHAnsi" w:cs="Times New Roman"/>
                <w:sz w:val="20"/>
                <w:szCs w:val="20"/>
              </w:rPr>
              <w:t xml:space="preserve"> </w:t>
            </w:r>
            <w:r w:rsidRPr="00FA6B36">
              <w:rPr>
                <w:rFonts w:asciiTheme="majorHAnsi" w:hAnsiTheme="majorHAnsi" w:cs="Times New Roman"/>
                <w:sz w:val="20"/>
                <w:szCs w:val="20"/>
              </w:rPr>
              <w:t>apply)</w:t>
            </w:r>
          </w:p>
        </w:tc>
        <w:tc>
          <w:tcPr>
            <w:tcW w:w="1350" w:type="dxa"/>
          </w:tcPr>
          <w:p w14:paraId="28DE3D96" w14:textId="77777777"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Direct EHR</w:t>
            </w:r>
          </w:p>
          <w:p w14:paraId="70ED7323" w14:textId="77777777"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Product or</w:t>
            </w:r>
          </w:p>
          <w:p w14:paraId="60670923" w14:textId="77777777"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EHR Data</w:t>
            </w:r>
          </w:p>
          <w:p w14:paraId="6BD674A1" w14:textId="77777777"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Submission</w:t>
            </w:r>
          </w:p>
          <w:p w14:paraId="1D453A6E" w14:textId="03DF3DD8" w:rsidR="0025107C" w:rsidRPr="00931A71" w:rsidRDefault="0025107C" w:rsidP="0025107C">
            <w:pPr>
              <w:pStyle w:val="NoSpacing"/>
              <w:rPr>
                <w:rFonts w:asciiTheme="majorHAnsi" w:hAnsiTheme="majorHAnsi"/>
                <w:sz w:val="20"/>
                <w:szCs w:val="20"/>
              </w:rPr>
            </w:pPr>
            <w:r w:rsidRPr="00931A71">
              <w:rPr>
                <w:rFonts w:asciiTheme="majorHAnsi" w:hAnsiTheme="majorHAnsi"/>
                <w:sz w:val="20"/>
                <w:szCs w:val="20"/>
              </w:rPr>
              <w:t>Vendor</w:t>
            </w:r>
            <w:r>
              <w:rPr>
                <w:rFonts w:asciiTheme="majorHAnsi" w:hAnsiTheme="majorHAnsi"/>
                <w:sz w:val="20"/>
                <w:szCs w:val="20"/>
              </w:rPr>
              <w:t xml:space="preserve"> Product</w:t>
            </w:r>
          </w:p>
          <w:p w14:paraId="07110C54" w14:textId="77777777" w:rsidR="0025107C" w:rsidRPr="00931A71" w:rsidRDefault="0025107C" w:rsidP="000B0803">
            <w:pPr>
              <w:pStyle w:val="NoSpacing"/>
              <w:rPr>
                <w:rFonts w:asciiTheme="majorHAnsi" w:hAnsiTheme="majorHAnsi"/>
                <w:sz w:val="20"/>
                <w:szCs w:val="20"/>
              </w:rPr>
            </w:pPr>
          </w:p>
        </w:tc>
        <w:tc>
          <w:tcPr>
            <w:tcW w:w="1170" w:type="dxa"/>
          </w:tcPr>
          <w:p w14:paraId="34129CA0" w14:textId="4A04D2DD" w:rsidR="0025107C" w:rsidRPr="00931A71" w:rsidRDefault="004512B6" w:rsidP="00367585">
            <w:pPr>
              <w:pStyle w:val="NoSpacing"/>
              <w:rPr>
                <w:rFonts w:asciiTheme="majorHAnsi" w:hAnsiTheme="majorHAnsi"/>
                <w:sz w:val="20"/>
                <w:szCs w:val="20"/>
              </w:rPr>
            </w:pPr>
            <w:r>
              <w:rPr>
                <w:rFonts w:asciiTheme="majorHAnsi" w:hAnsiTheme="majorHAnsi"/>
                <w:sz w:val="20"/>
                <w:szCs w:val="20"/>
              </w:rPr>
              <w:t xml:space="preserve">Individual </w:t>
            </w:r>
            <w:r w:rsidR="0025107C" w:rsidRPr="00931A71">
              <w:rPr>
                <w:rFonts w:asciiTheme="majorHAnsi" w:hAnsiTheme="majorHAnsi"/>
                <w:sz w:val="20"/>
                <w:szCs w:val="20"/>
              </w:rPr>
              <w:t xml:space="preserve">Measures </w:t>
            </w:r>
          </w:p>
        </w:tc>
        <w:tc>
          <w:tcPr>
            <w:tcW w:w="3960" w:type="dxa"/>
            <w:shd w:val="clear" w:color="auto" w:fill="auto"/>
          </w:tcPr>
          <w:p w14:paraId="490F831C" w14:textId="3B6765E0" w:rsidR="0025107C" w:rsidRPr="00931A71" w:rsidRDefault="003062DD" w:rsidP="003062DD">
            <w:pPr>
              <w:pStyle w:val="NoSpacing"/>
              <w:rPr>
                <w:rFonts w:asciiTheme="majorHAnsi" w:hAnsiTheme="majorHAnsi"/>
                <w:sz w:val="20"/>
                <w:szCs w:val="20"/>
              </w:rPr>
            </w:pPr>
            <w:r w:rsidRPr="00931A71">
              <w:rPr>
                <w:rFonts w:asciiTheme="majorHAnsi" w:hAnsiTheme="majorHAnsi"/>
                <w:sz w:val="20"/>
                <w:szCs w:val="20"/>
              </w:rPr>
              <w:t xml:space="preserve">Report 9 measures covering at least 3 of the NQS domains. If </w:t>
            </w:r>
            <w:r>
              <w:rPr>
                <w:rFonts w:asciiTheme="majorHAnsi" w:hAnsiTheme="majorHAnsi"/>
                <w:sz w:val="20"/>
                <w:szCs w:val="20"/>
              </w:rPr>
              <w:t>the group’s</w:t>
            </w:r>
            <w:r w:rsidRPr="00931A71">
              <w:rPr>
                <w:rFonts w:asciiTheme="majorHAnsi" w:hAnsiTheme="majorHAnsi"/>
                <w:sz w:val="20"/>
                <w:szCs w:val="20"/>
              </w:rPr>
              <w:t xml:space="preserve"> EHR product/vendor does not contain patient data for at least 9 measures covering</w:t>
            </w:r>
            <w:r>
              <w:rPr>
                <w:rFonts w:asciiTheme="majorHAnsi" w:hAnsiTheme="majorHAnsi"/>
                <w:sz w:val="20"/>
                <w:szCs w:val="20"/>
              </w:rPr>
              <w:t xml:space="preserve"> at least 3 domains, then the group</w:t>
            </w:r>
            <w:r w:rsidRPr="00931A71">
              <w:rPr>
                <w:rFonts w:asciiTheme="majorHAnsi" w:hAnsiTheme="majorHAnsi"/>
                <w:sz w:val="20"/>
                <w:szCs w:val="20"/>
              </w:rPr>
              <w:t xml:space="preserve"> would be required to report all of the measures for which ther</w:t>
            </w:r>
            <w:r>
              <w:rPr>
                <w:rFonts w:asciiTheme="majorHAnsi" w:hAnsiTheme="majorHAnsi"/>
                <w:sz w:val="20"/>
                <w:szCs w:val="20"/>
              </w:rPr>
              <w:t xml:space="preserve">e is Medicare patient data. A group must </w:t>
            </w:r>
            <w:r w:rsidRPr="00931A71">
              <w:rPr>
                <w:rFonts w:asciiTheme="majorHAnsi" w:hAnsiTheme="majorHAnsi"/>
                <w:sz w:val="20"/>
                <w:szCs w:val="20"/>
              </w:rPr>
              <w:t>report on</w:t>
            </w:r>
            <w:r>
              <w:rPr>
                <w:rFonts w:asciiTheme="majorHAnsi" w:hAnsiTheme="majorHAnsi"/>
                <w:sz w:val="20"/>
                <w:szCs w:val="20"/>
              </w:rPr>
              <w:t xml:space="preserve"> </w:t>
            </w:r>
            <w:r w:rsidRPr="00931A71">
              <w:rPr>
                <w:rFonts w:asciiTheme="majorHAnsi" w:hAnsiTheme="majorHAnsi"/>
                <w:sz w:val="20"/>
                <w:szCs w:val="20"/>
              </w:rPr>
              <w:t>at least 1 measure for which there is Medicare patient data.</w:t>
            </w:r>
          </w:p>
        </w:tc>
      </w:tr>
      <w:tr w:rsidR="000B0803" w:rsidRPr="00931A71" w14:paraId="217A9A4E" w14:textId="77777777" w:rsidTr="009B7C30">
        <w:tc>
          <w:tcPr>
            <w:tcW w:w="1170" w:type="dxa"/>
            <w:shd w:val="clear" w:color="auto" w:fill="DBE5F1" w:themeFill="accent1" w:themeFillTint="33"/>
          </w:tcPr>
          <w:p w14:paraId="7A14E7E5"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12-month</w:t>
            </w:r>
          </w:p>
          <w:p w14:paraId="0F1135E1"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(Jan 1 —</w:t>
            </w:r>
          </w:p>
          <w:p w14:paraId="224CAB9E" w14:textId="68981F1D" w:rsidR="000B0803" w:rsidRPr="00931A71" w:rsidRDefault="00FA6B36" w:rsidP="00367585">
            <w:pPr>
              <w:pStyle w:val="NoSpacing"/>
              <w:rPr>
                <w:rFonts w:asciiTheme="majorHAnsi" w:hAnsiTheme="majorHAnsi"/>
                <w:sz w:val="20"/>
                <w:szCs w:val="20"/>
              </w:rPr>
            </w:pPr>
            <w:r>
              <w:rPr>
                <w:rFonts w:asciiTheme="majorHAnsi" w:hAnsiTheme="majorHAnsi"/>
                <w:sz w:val="20"/>
                <w:szCs w:val="20"/>
              </w:rPr>
              <w:t>Dec 31, 2016</w:t>
            </w:r>
            <w:r w:rsidR="000B0803" w:rsidRPr="00931A71">
              <w:rPr>
                <w:rFonts w:asciiTheme="majorHAnsi" w:hAnsiTheme="majorHAnsi"/>
                <w:sz w:val="20"/>
                <w:szCs w:val="20"/>
              </w:rPr>
              <w:t>)</w:t>
            </w:r>
          </w:p>
          <w:p w14:paraId="72608CAF" w14:textId="77777777" w:rsidR="000B0803" w:rsidRPr="00931A71" w:rsidRDefault="000B0803" w:rsidP="00367585">
            <w:pPr>
              <w:pStyle w:val="NoSpacing"/>
              <w:rPr>
                <w:rFonts w:asciiTheme="majorHAnsi" w:hAnsiTheme="majorHAnsi"/>
                <w:sz w:val="20"/>
                <w:szCs w:val="20"/>
              </w:rPr>
            </w:pPr>
          </w:p>
        </w:tc>
        <w:tc>
          <w:tcPr>
            <w:tcW w:w="1440" w:type="dxa"/>
            <w:shd w:val="clear" w:color="auto" w:fill="DBE5F1" w:themeFill="accent1" w:themeFillTint="33"/>
          </w:tcPr>
          <w:p w14:paraId="38CC9C9F" w14:textId="77777777" w:rsidR="004512B6" w:rsidRDefault="004512B6" w:rsidP="004512B6">
            <w:pPr>
              <w:pStyle w:val="NoSpacing"/>
              <w:rPr>
                <w:rFonts w:asciiTheme="majorHAnsi" w:hAnsiTheme="majorHAnsi"/>
                <w:sz w:val="20"/>
                <w:szCs w:val="20"/>
              </w:rPr>
            </w:pPr>
            <w:r w:rsidRPr="00931A71">
              <w:rPr>
                <w:rFonts w:asciiTheme="majorHAnsi" w:hAnsiTheme="majorHAnsi"/>
                <w:sz w:val="20"/>
                <w:szCs w:val="20"/>
              </w:rPr>
              <w:t>2-99</w:t>
            </w:r>
            <w:r>
              <w:rPr>
                <w:rFonts w:asciiTheme="majorHAnsi" w:hAnsiTheme="majorHAnsi"/>
                <w:sz w:val="20"/>
                <w:szCs w:val="20"/>
              </w:rPr>
              <w:t xml:space="preserve"> </w:t>
            </w:r>
            <w:r w:rsidRPr="00931A71">
              <w:rPr>
                <w:rFonts w:asciiTheme="majorHAnsi" w:hAnsiTheme="majorHAnsi"/>
                <w:sz w:val="20"/>
                <w:szCs w:val="20"/>
              </w:rPr>
              <w:t>EPs</w:t>
            </w:r>
            <w:r>
              <w:rPr>
                <w:rFonts w:asciiTheme="majorHAnsi" w:hAnsiTheme="majorHAnsi"/>
                <w:sz w:val="20"/>
                <w:szCs w:val="20"/>
              </w:rPr>
              <w:t xml:space="preserve"> that elect CAHPS for PQRS </w:t>
            </w:r>
            <w:r w:rsidRPr="00931A71">
              <w:rPr>
                <w:rFonts w:asciiTheme="majorHAnsi" w:hAnsiTheme="majorHAnsi"/>
                <w:sz w:val="20"/>
                <w:szCs w:val="20"/>
              </w:rPr>
              <w:t xml:space="preserve"> </w:t>
            </w:r>
          </w:p>
          <w:p w14:paraId="1CA13EEE" w14:textId="77777777" w:rsidR="004512B6" w:rsidRPr="00931A71" w:rsidRDefault="004512B6" w:rsidP="004512B6">
            <w:pPr>
              <w:pStyle w:val="NoSpacing"/>
              <w:rPr>
                <w:rFonts w:asciiTheme="majorHAnsi" w:hAnsiTheme="majorHAnsi"/>
                <w:sz w:val="20"/>
                <w:szCs w:val="20"/>
              </w:rPr>
            </w:pPr>
          </w:p>
          <w:p w14:paraId="532A0F20" w14:textId="70F7E8A8" w:rsidR="0025107C" w:rsidRPr="00931A71" w:rsidRDefault="004512B6" w:rsidP="004512B6">
            <w:pPr>
              <w:pStyle w:val="NoSpacing"/>
              <w:rPr>
                <w:rFonts w:asciiTheme="majorHAnsi" w:hAnsiTheme="majorHAnsi"/>
                <w:sz w:val="20"/>
                <w:szCs w:val="20"/>
              </w:rPr>
            </w:pPr>
            <w:r w:rsidRPr="00931A71">
              <w:rPr>
                <w:rFonts w:asciiTheme="majorHAnsi" w:hAnsiTheme="majorHAnsi"/>
                <w:sz w:val="20"/>
                <w:szCs w:val="20"/>
              </w:rPr>
              <w:t>100+</w:t>
            </w:r>
            <w:r>
              <w:rPr>
                <w:rFonts w:asciiTheme="majorHAnsi" w:hAnsiTheme="majorHAnsi"/>
                <w:sz w:val="20"/>
                <w:szCs w:val="20"/>
              </w:rPr>
              <w:t xml:space="preserve"> </w:t>
            </w:r>
            <w:r w:rsidRPr="00931A71">
              <w:rPr>
                <w:rFonts w:asciiTheme="majorHAnsi" w:hAnsiTheme="majorHAnsi"/>
                <w:sz w:val="20"/>
                <w:szCs w:val="20"/>
              </w:rPr>
              <w:t>EPs</w:t>
            </w:r>
            <w:r>
              <w:rPr>
                <w:rFonts w:asciiTheme="majorHAnsi" w:hAnsiTheme="majorHAnsi"/>
                <w:sz w:val="20"/>
                <w:szCs w:val="20"/>
              </w:rPr>
              <w:t xml:space="preserve"> (if CAHPS for PQRS applies)</w:t>
            </w:r>
          </w:p>
        </w:tc>
        <w:tc>
          <w:tcPr>
            <w:tcW w:w="1350" w:type="dxa"/>
            <w:shd w:val="clear" w:color="auto" w:fill="DBE5F1" w:themeFill="accent1" w:themeFillTint="33"/>
          </w:tcPr>
          <w:p w14:paraId="11383DD9"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Direct EHR</w:t>
            </w:r>
          </w:p>
          <w:p w14:paraId="35A9734B"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Product or</w:t>
            </w:r>
          </w:p>
          <w:p w14:paraId="40B8C655"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EHR Data</w:t>
            </w:r>
          </w:p>
          <w:p w14:paraId="0B9D8CAA"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Submission</w:t>
            </w:r>
          </w:p>
          <w:p w14:paraId="362A0ACF"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Vendor</w:t>
            </w:r>
          </w:p>
          <w:p w14:paraId="05ED71C2"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Product +</w:t>
            </w:r>
          </w:p>
          <w:p w14:paraId="0131C8B1"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CMS Certified</w:t>
            </w:r>
          </w:p>
          <w:p w14:paraId="6DECDE07" w14:textId="77777777" w:rsidR="000B0803" w:rsidRPr="00931A71" w:rsidRDefault="000B0803" w:rsidP="000B0803">
            <w:pPr>
              <w:pStyle w:val="NoSpacing"/>
              <w:rPr>
                <w:rFonts w:asciiTheme="majorHAnsi" w:hAnsiTheme="majorHAnsi"/>
                <w:sz w:val="20"/>
                <w:szCs w:val="20"/>
              </w:rPr>
            </w:pPr>
            <w:r w:rsidRPr="00931A71">
              <w:rPr>
                <w:rFonts w:asciiTheme="majorHAnsi" w:hAnsiTheme="majorHAnsi"/>
                <w:sz w:val="20"/>
                <w:szCs w:val="20"/>
              </w:rPr>
              <w:t>Survey</w:t>
            </w:r>
          </w:p>
          <w:p w14:paraId="6E213989" w14:textId="330EA76F"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Vendor</w:t>
            </w:r>
          </w:p>
        </w:tc>
        <w:tc>
          <w:tcPr>
            <w:tcW w:w="1170" w:type="dxa"/>
            <w:shd w:val="clear" w:color="auto" w:fill="DBE5F1" w:themeFill="accent1" w:themeFillTint="33"/>
          </w:tcPr>
          <w:p w14:paraId="0F932D99" w14:textId="4DCDE043"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Individual</w:t>
            </w:r>
          </w:p>
          <w:p w14:paraId="1C48FA6F"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Measures +</w:t>
            </w:r>
          </w:p>
          <w:p w14:paraId="36BC427A"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CAHPS for</w:t>
            </w:r>
          </w:p>
          <w:p w14:paraId="6F4F071A" w14:textId="77777777" w:rsidR="000B0803"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PQRS</w:t>
            </w:r>
          </w:p>
        </w:tc>
        <w:tc>
          <w:tcPr>
            <w:tcW w:w="3960" w:type="dxa"/>
            <w:shd w:val="clear" w:color="auto" w:fill="DBE5F1" w:themeFill="accent1" w:themeFillTint="33"/>
          </w:tcPr>
          <w:p w14:paraId="416D8455" w14:textId="6F22C37F" w:rsidR="0025107C" w:rsidRPr="00931A71" w:rsidRDefault="000B0803" w:rsidP="00367585">
            <w:pPr>
              <w:pStyle w:val="NoSpacing"/>
              <w:rPr>
                <w:rFonts w:asciiTheme="majorHAnsi" w:hAnsiTheme="majorHAnsi"/>
                <w:sz w:val="20"/>
                <w:szCs w:val="20"/>
              </w:rPr>
            </w:pPr>
            <w:r w:rsidRPr="00931A71">
              <w:rPr>
                <w:rFonts w:asciiTheme="majorHAnsi" w:hAnsiTheme="majorHAnsi"/>
                <w:sz w:val="20"/>
                <w:szCs w:val="20"/>
              </w:rPr>
              <w:t>The group practice must have all CAHPS for PQRS survey measures reported on its behalf via a CMS-certified survey vendor, and report at least 6 additional measures, outside of CAHPS for PQRS, covering at least 2 of the NQS domains using the direct EHR product or EHR data submission vendor product. If less than 6 measures apply to the group practice, the group practice must report up to 5 measures. Of the additional 6 measures that must be reported in conjunction with reporting the CAHPS for PQRS survey measures, a group practice would be required to report on at least 1 measure for which there is Medicare patient data.</w:t>
            </w:r>
          </w:p>
        </w:tc>
      </w:tr>
      <w:tr w:rsidR="006F2D4D" w:rsidRPr="00931A71" w14:paraId="2EC36069" w14:textId="77777777" w:rsidTr="006F2D4D">
        <w:tc>
          <w:tcPr>
            <w:tcW w:w="1170" w:type="dxa"/>
            <w:shd w:val="clear" w:color="auto" w:fill="auto"/>
          </w:tcPr>
          <w:p w14:paraId="0B5FA7F6" w14:textId="77777777" w:rsidR="006F2D4D" w:rsidRPr="006F2D4D" w:rsidRDefault="006F2D4D" w:rsidP="006F2D4D">
            <w:pPr>
              <w:pStyle w:val="NoSpacing"/>
              <w:rPr>
                <w:rFonts w:asciiTheme="majorHAnsi" w:hAnsiTheme="majorHAnsi"/>
                <w:sz w:val="20"/>
                <w:szCs w:val="20"/>
              </w:rPr>
            </w:pPr>
            <w:r w:rsidRPr="006F2D4D">
              <w:rPr>
                <w:rFonts w:asciiTheme="majorHAnsi" w:hAnsiTheme="majorHAnsi"/>
                <w:sz w:val="20"/>
                <w:szCs w:val="20"/>
              </w:rPr>
              <w:t>12-month</w:t>
            </w:r>
          </w:p>
          <w:p w14:paraId="6FBB3F23" w14:textId="77777777" w:rsidR="006F2D4D" w:rsidRPr="006F2D4D" w:rsidRDefault="006F2D4D" w:rsidP="006F2D4D">
            <w:pPr>
              <w:pStyle w:val="NoSpacing"/>
              <w:rPr>
                <w:rFonts w:asciiTheme="majorHAnsi" w:hAnsiTheme="majorHAnsi"/>
                <w:sz w:val="20"/>
                <w:szCs w:val="20"/>
              </w:rPr>
            </w:pPr>
            <w:r w:rsidRPr="006F2D4D">
              <w:rPr>
                <w:rFonts w:asciiTheme="majorHAnsi" w:hAnsiTheme="majorHAnsi"/>
                <w:sz w:val="20"/>
                <w:szCs w:val="20"/>
              </w:rPr>
              <w:t>(Jan 1 —</w:t>
            </w:r>
          </w:p>
          <w:p w14:paraId="7D721972" w14:textId="77777777" w:rsidR="006F2D4D" w:rsidRPr="006F2D4D" w:rsidRDefault="006F2D4D" w:rsidP="006F2D4D">
            <w:pPr>
              <w:pStyle w:val="NoSpacing"/>
              <w:rPr>
                <w:rFonts w:asciiTheme="majorHAnsi" w:hAnsiTheme="majorHAnsi"/>
                <w:sz w:val="20"/>
                <w:szCs w:val="20"/>
              </w:rPr>
            </w:pPr>
            <w:r w:rsidRPr="006F2D4D">
              <w:rPr>
                <w:rFonts w:asciiTheme="majorHAnsi" w:hAnsiTheme="majorHAnsi"/>
                <w:sz w:val="20"/>
                <w:szCs w:val="20"/>
              </w:rPr>
              <w:t>Dec 31, 2016)</w:t>
            </w:r>
          </w:p>
          <w:p w14:paraId="3626CEDC" w14:textId="77777777" w:rsidR="006F2D4D" w:rsidRPr="006F2D4D" w:rsidRDefault="006F2D4D" w:rsidP="00367585">
            <w:pPr>
              <w:pStyle w:val="NoSpacing"/>
              <w:rPr>
                <w:rFonts w:asciiTheme="majorHAnsi" w:hAnsiTheme="majorHAnsi"/>
                <w:sz w:val="20"/>
                <w:szCs w:val="20"/>
              </w:rPr>
            </w:pPr>
          </w:p>
        </w:tc>
        <w:tc>
          <w:tcPr>
            <w:tcW w:w="1440" w:type="dxa"/>
            <w:shd w:val="clear" w:color="auto" w:fill="auto"/>
          </w:tcPr>
          <w:p w14:paraId="09DAA60B" w14:textId="1D4734CF" w:rsidR="006F2D4D" w:rsidRPr="006F2D4D" w:rsidRDefault="006F2D4D" w:rsidP="004512B6">
            <w:pPr>
              <w:pStyle w:val="NoSpacing"/>
              <w:rPr>
                <w:rFonts w:asciiTheme="majorHAnsi" w:hAnsiTheme="majorHAnsi"/>
                <w:sz w:val="20"/>
                <w:szCs w:val="20"/>
              </w:rPr>
            </w:pPr>
            <w:r w:rsidRPr="006F2D4D">
              <w:rPr>
                <w:rFonts w:asciiTheme="majorHAnsi" w:hAnsiTheme="majorHAnsi"/>
                <w:sz w:val="20"/>
                <w:szCs w:val="20"/>
              </w:rPr>
              <w:t>2+ EPS</w:t>
            </w:r>
          </w:p>
        </w:tc>
        <w:tc>
          <w:tcPr>
            <w:tcW w:w="1350" w:type="dxa"/>
            <w:shd w:val="clear" w:color="auto" w:fill="auto"/>
          </w:tcPr>
          <w:p w14:paraId="2420987D" w14:textId="2E7CDD37" w:rsidR="006F2D4D" w:rsidRPr="006F2D4D" w:rsidRDefault="006F2D4D" w:rsidP="000B0803">
            <w:pPr>
              <w:pStyle w:val="NoSpacing"/>
              <w:rPr>
                <w:rFonts w:asciiTheme="majorHAnsi" w:hAnsiTheme="majorHAnsi"/>
                <w:sz w:val="20"/>
                <w:szCs w:val="20"/>
              </w:rPr>
            </w:pPr>
            <w:r w:rsidRPr="006F2D4D">
              <w:rPr>
                <w:rFonts w:asciiTheme="majorHAnsi" w:hAnsiTheme="majorHAnsi"/>
                <w:sz w:val="20"/>
                <w:szCs w:val="20"/>
              </w:rPr>
              <w:t>Qualified  Clinical Data Registry (QCDR)</w:t>
            </w:r>
          </w:p>
        </w:tc>
        <w:tc>
          <w:tcPr>
            <w:tcW w:w="1170" w:type="dxa"/>
            <w:shd w:val="clear" w:color="auto" w:fill="auto"/>
          </w:tcPr>
          <w:p w14:paraId="1D3A182A"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Individual</w:t>
            </w:r>
          </w:p>
          <w:p w14:paraId="58BDBB27"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PQRS</w:t>
            </w:r>
          </w:p>
          <w:p w14:paraId="01C1B458"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measures</w:t>
            </w:r>
          </w:p>
          <w:p w14:paraId="7F303A07"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and/or non-</w:t>
            </w:r>
          </w:p>
          <w:p w14:paraId="782F293C"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PQRS</w:t>
            </w:r>
          </w:p>
          <w:p w14:paraId="444DDBF5"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measures</w:t>
            </w:r>
          </w:p>
          <w:p w14:paraId="79FC14E6" w14:textId="77777777"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reportable</w:t>
            </w:r>
          </w:p>
          <w:p w14:paraId="1186B87F" w14:textId="56BAC605" w:rsidR="006F2D4D" w:rsidRPr="006F2D4D" w:rsidRDefault="006F2D4D" w:rsidP="006F2D4D">
            <w:pPr>
              <w:pStyle w:val="NoSpacing"/>
              <w:rPr>
                <w:rFonts w:asciiTheme="majorHAnsi" w:hAnsiTheme="majorHAnsi"/>
                <w:sz w:val="20"/>
                <w:szCs w:val="20"/>
              </w:rPr>
            </w:pPr>
            <w:r w:rsidRPr="006F2D4D">
              <w:rPr>
                <w:rFonts w:asciiTheme="majorHAnsi" w:hAnsiTheme="majorHAnsi" w:cs="Times New Roman"/>
                <w:sz w:val="20"/>
                <w:szCs w:val="20"/>
              </w:rPr>
              <w:t>via a QCDR</w:t>
            </w:r>
          </w:p>
        </w:tc>
        <w:tc>
          <w:tcPr>
            <w:tcW w:w="3960" w:type="dxa"/>
            <w:shd w:val="clear" w:color="auto" w:fill="auto"/>
          </w:tcPr>
          <w:p w14:paraId="774AD59A" w14:textId="0301E676"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r w:rsidRPr="006F2D4D">
              <w:rPr>
                <w:rFonts w:asciiTheme="majorHAnsi" w:hAnsiTheme="majorHAnsi" w:cs="Times New Roman"/>
                <w:sz w:val="20"/>
                <w:szCs w:val="20"/>
              </w:rPr>
              <w:t>Report at least 9 measures available for reporting under a QCDR covering at least 3 of the NQS domains, AND report each measure for at least 50% of the group</w:t>
            </w:r>
          </w:p>
          <w:p w14:paraId="1C4E93DC" w14:textId="1A47289D" w:rsidR="006F2D4D" w:rsidRPr="006F2D4D" w:rsidRDefault="006F2D4D" w:rsidP="006F2D4D">
            <w:pPr>
              <w:widowControl w:val="0"/>
              <w:autoSpaceDE w:val="0"/>
              <w:autoSpaceDN w:val="0"/>
              <w:adjustRightInd w:val="0"/>
              <w:spacing w:after="0" w:line="240" w:lineRule="auto"/>
              <w:rPr>
                <w:rFonts w:asciiTheme="majorHAnsi" w:hAnsiTheme="majorHAnsi" w:cs="Times New Roman"/>
                <w:sz w:val="20"/>
                <w:szCs w:val="20"/>
              </w:rPr>
            </w:pPr>
            <w:proofErr w:type="gramStart"/>
            <w:r w:rsidRPr="006F2D4D">
              <w:rPr>
                <w:rFonts w:asciiTheme="majorHAnsi" w:hAnsiTheme="majorHAnsi" w:cs="¿ÕSZˇ"/>
                <w:sz w:val="20"/>
                <w:szCs w:val="20"/>
              </w:rPr>
              <w:t>practice’s</w:t>
            </w:r>
            <w:proofErr w:type="gramEnd"/>
            <w:r w:rsidRPr="006F2D4D">
              <w:rPr>
                <w:rFonts w:asciiTheme="majorHAnsi" w:hAnsiTheme="majorHAnsi" w:cs="¿ÕSZˇ"/>
                <w:sz w:val="20"/>
                <w:szCs w:val="20"/>
              </w:rPr>
              <w:t xml:space="preserve"> patients. Of these mea</w:t>
            </w:r>
            <w:r w:rsidRPr="006F2D4D">
              <w:rPr>
                <w:rFonts w:asciiTheme="majorHAnsi" w:hAnsiTheme="majorHAnsi" w:cs="Times New Roman"/>
                <w:sz w:val="20"/>
                <w:szCs w:val="20"/>
              </w:rPr>
              <w:t>sures, the group practice would report on at least 2 outcome measures, OR, if 2 outcomes measures are not available, report on at least 1 outcome measures and at least 1 of the following types of measures:  resource use, patient experience of care, efficiency/appropriate use, or patient</w:t>
            </w:r>
          </w:p>
          <w:p w14:paraId="7860A5BE" w14:textId="0D8B26C8" w:rsidR="006F2D4D" w:rsidRPr="006F2D4D" w:rsidRDefault="006F2D4D" w:rsidP="006F2D4D">
            <w:pPr>
              <w:pStyle w:val="NoSpacing"/>
              <w:rPr>
                <w:rFonts w:asciiTheme="majorHAnsi" w:hAnsiTheme="majorHAnsi"/>
                <w:sz w:val="20"/>
                <w:szCs w:val="20"/>
              </w:rPr>
            </w:pPr>
            <w:proofErr w:type="gramStart"/>
            <w:r w:rsidRPr="006F2D4D">
              <w:rPr>
                <w:rFonts w:asciiTheme="majorHAnsi" w:hAnsiTheme="majorHAnsi" w:cs="Times New Roman"/>
                <w:sz w:val="20"/>
                <w:szCs w:val="20"/>
              </w:rPr>
              <w:t>safety</w:t>
            </w:r>
            <w:proofErr w:type="gramEnd"/>
            <w:r w:rsidRPr="006F2D4D">
              <w:rPr>
                <w:rFonts w:asciiTheme="majorHAnsi" w:hAnsiTheme="majorHAnsi" w:cs="Times New Roman"/>
                <w:sz w:val="20"/>
                <w:szCs w:val="20"/>
              </w:rPr>
              <w:t>.</w:t>
            </w:r>
          </w:p>
        </w:tc>
      </w:tr>
    </w:tbl>
    <w:p w14:paraId="4C4F8F34" w14:textId="77777777" w:rsidR="009C0886" w:rsidRPr="009C0886" w:rsidRDefault="009C0886" w:rsidP="009C0886">
      <w:pPr>
        <w:pStyle w:val="NoSpacing"/>
        <w:rPr>
          <w:rFonts w:asciiTheme="majorHAnsi" w:hAnsiTheme="majorHAnsi" w:cs="Noteworthy Light"/>
          <w:i/>
          <w:sz w:val="18"/>
          <w:szCs w:val="18"/>
        </w:rPr>
      </w:pPr>
      <w:r w:rsidRPr="009C0886">
        <w:rPr>
          <w:rFonts w:asciiTheme="majorHAnsi" w:hAnsiTheme="majorHAnsi"/>
          <w:i/>
          <w:sz w:val="18"/>
          <w:szCs w:val="18"/>
        </w:rPr>
        <w:t xml:space="preserve">*PQRS measures are categorized under the following National Quality Strategy (NQS) domains: </w:t>
      </w:r>
      <w:r w:rsidRPr="009C0886">
        <w:rPr>
          <w:rFonts w:asciiTheme="majorHAnsi" w:hAnsiTheme="majorHAnsi" w:cs="Noteworthy Light"/>
          <w:i/>
          <w:sz w:val="18"/>
          <w:szCs w:val="18"/>
        </w:rPr>
        <w:t>Patient and Family Engagement; Patient Safety; Care Coordination; Population and Public Health; Efficient Use of Healthcare Resources; and Clinical Processes/Effectiveness</w:t>
      </w:r>
    </w:p>
    <w:p w14:paraId="23358FA4" w14:textId="1039ABC4" w:rsidR="009C0886" w:rsidRPr="009C0886" w:rsidRDefault="009C0886" w:rsidP="009C0886">
      <w:pPr>
        <w:pStyle w:val="NoSpacing"/>
        <w:rPr>
          <w:rFonts w:asciiTheme="majorHAnsi" w:hAnsiTheme="majorHAnsi"/>
          <w:i/>
          <w:sz w:val="18"/>
          <w:szCs w:val="18"/>
        </w:rPr>
      </w:pPr>
      <w:r w:rsidRPr="009C0886">
        <w:rPr>
          <w:rFonts w:asciiTheme="majorHAnsi" w:hAnsiTheme="majorHAnsi"/>
          <w:i/>
          <w:sz w:val="18"/>
          <w:szCs w:val="18"/>
        </w:rPr>
        <w:t xml:space="preserve">+The Measures Applicability Validation (MAV) process is what CMS uses to verify whether an EP could have reported on additional clinically relevant measures. It is only triggered when an EP reports on less than 9 measures and/or less than 3 NQS domains. </w:t>
      </w:r>
      <w:r w:rsidR="00BD53B1" w:rsidRPr="006F2D4D">
        <w:rPr>
          <w:rFonts w:asciiTheme="majorHAnsi" w:hAnsiTheme="majorHAnsi"/>
          <w:i/>
          <w:sz w:val="18"/>
          <w:szCs w:val="18"/>
        </w:rPr>
        <w:t>Fo</w:t>
      </w:r>
      <w:r w:rsidR="006F2D4D">
        <w:rPr>
          <w:rFonts w:asciiTheme="majorHAnsi" w:hAnsiTheme="majorHAnsi"/>
          <w:i/>
          <w:sz w:val="18"/>
          <w:szCs w:val="18"/>
        </w:rPr>
        <w:t>r more information, click</w:t>
      </w:r>
      <w:hyperlink r:id="rId19" w:history="1">
        <w:r w:rsidR="006F2D4D" w:rsidRPr="00FA6B36">
          <w:rPr>
            <w:rStyle w:val="Hyperlink"/>
            <w:rFonts w:asciiTheme="majorHAnsi" w:hAnsiTheme="majorHAnsi"/>
            <w:i/>
            <w:sz w:val="18"/>
            <w:szCs w:val="18"/>
          </w:rPr>
          <w:t xml:space="preserve"> here</w:t>
        </w:r>
      </w:hyperlink>
      <w:r w:rsidR="006F2D4D">
        <w:rPr>
          <w:rFonts w:asciiTheme="majorHAnsi" w:hAnsiTheme="majorHAnsi"/>
          <w:i/>
          <w:sz w:val="18"/>
          <w:szCs w:val="18"/>
        </w:rPr>
        <w:t>.</w:t>
      </w:r>
      <w:r w:rsidR="00BD53B1">
        <w:rPr>
          <w:rFonts w:asciiTheme="majorHAnsi" w:hAnsiTheme="majorHAnsi"/>
          <w:i/>
          <w:sz w:val="18"/>
          <w:szCs w:val="18"/>
        </w:rPr>
        <w:t xml:space="preserve">  </w:t>
      </w:r>
    </w:p>
    <w:p w14:paraId="76C3E621" w14:textId="6C4FCBEF" w:rsidR="006C65F0" w:rsidRPr="006C65F0" w:rsidRDefault="006C65F0" w:rsidP="004441C2">
      <w:pPr>
        <w:pStyle w:val="NoSpacing"/>
        <w:rPr>
          <w:rFonts w:asciiTheme="majorHAnsi" w:hAnsiTheme="majorHAnsi" w:cstheme="majorHAnsi"/>
          <w:sz w:val="20"/>
          <w:szCs w:val="20"/>
        </w:rPr>
      </w:pPr>
    </w:p>
    <w:sectPr w:rsidR="006C65F0" w:rsidRPr="006C65F0" w:rsidSect="00C0104D">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5AD1" w14:textId="77777777" w:rsidR="00EB08B0" w:rsidRDefault="00EB08B0" w:rsidP="00C0104D">
      <w:pPr>
        <w:spacing w:after="0" w:line="240" w:lineRule="auto"/>
      </w:pPr>
      <w:r>
        <w:separator/>
      </w:r>
    </w:p>
  </w:endnote>
  <w:endnote w:type="continuationSeparator" w:id="0">
    <w:p w14:paraId="10EAD62F" w14:textId="77777777" w:rsidR="00EB08B0" w:rsidRDefault="00EB08B0" w:rsidP="00C0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oteworthy Light">
    <w:charset w:val="00"/>
    <w:family w:val="auto"/>
    <w:pitch w:val="variable"/>
    <w:sig w:usb0="8000006F" w:usb1="08000048" w:usb2="14600000" w:usb3="00000000" w:csb0="00000111" w:csb1="00000000"/>
  </w:font>
  <w:font w:name="¿ÕSZˇ">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CCFC" w14:textId="23F4297F" w:rsidR="00E472D6" w:rsidRPr="006A0CC6" w:rsidRDefault="00E472D6" w:rsidP="00C0104D">
    <w:pPr>
      <w:pStyle w:val="Footer"/>
      <w:rPr>
        <w:rFonts w:asciiTheme="majorHAnsi" w:hAnsiTheme="majorHAnsi"/>
        <w:i/>
        <w:noProof/>
      </w:rPr>
    </w:pPr>
    <w:r w:rsidRPr="00257A8E">
      <w:rPr>
        <w:rFonts w:asciiTheme="majorHAnsi" w:hAnsiTheme="majorHAnsi"/>
        <w:i/>
      </w:rPr>
      <w:t>Prepar</w:t>
    </w:r>
    <w:r>
      <w:rPr>
        <w:rFonts w:asciiTheme="majorHAnsi" w:hAnsiTheme="majorHAnsi"/>
        <w:i/>
      </w:rPr>
      <w:t>ed by Hart Health Strategies, September 2016</w:t>
    </w:r>
    <w:r w:rsidRPr="00257A8E">
      <w:rPr>
        <w:rFonts w:asciiTheme="majorHAnsi" w:hAnsiTheme="majorHAnsi"/>
        <w:i/>
      </w:rPr>
      <w:t xml:space="preserve">, </w:t>
    </w:r>
    <w:hyperlink r:id="rId1" w:history="1">
      <w:r w:rsidRPr="00257A8E">
        <w:rPr>
          <w:rStyle w:val="Hyperlink"/>
          <w:rFonts w:asciiTheme="majorHAnsi" w:hAnsiTheme="majorHAnsi"/>
          <w:i/>
        </w:rPr>
        <w:t>www.hhs.com</w:t>
      </w:r>
    </w:hyperlink>
    <w:r>
      <w:rPr>
        <w:rFonts w:asciiTheme="majorHAnsi" w:hAnsiTheme="majorHAnsi"/>
        <w:i/>
      </w:rPr>
      <w:t xml:space="preserve">                                                  Page </w:t>
    </w:r>
    <w:sdt>
      <w:sdtPr>
        <w:id w:val="1100616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1C03">
          <w:rPr>
            <w:noProof/>
          </w:rPr>
          <w:t>8</w:t>
        </w:r>
        <w:r>
          <w:rPr>
            <w:noProof/>
          </w:rPr>
          <w:fldChar w:fldCharType="end"/>
        </w:r>
        <w:r>
          <w:rPr>
            <w:noProof/>
          </w:rPr>
          <w:t xml:space="preserve">  </w:t>
        </w:r>
      </w:sdtContent>
    </w:sdt>
  </w:p>
  <w:p w14:paraId="1C6ABB90" w14:textId="77777777" w:rsidR="00E472D6" w:rsidRDefault="00E472D6">
    <w:pPr>
      <w:pStyle w:val="Footer"/>
    </w:pPr>
  </w:p>
  <w:p w14:paraId="45AA38E3" w14:textId="77777777" w:rsidR="00E472D6" w:rsidRDefault="00E47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CAA1" w14:textId="77777777" w:rsidR="00EB08B0" w:rsidRDefault="00EB08B0" w:rsidP="00C0104D">
      <w:pPr>
        <w:spacing w:after="0" w:line="240" w:lineRule="auto"/>
      </w:pPr>
      <w:r>
        <w:separator/>
      </w:r>
    </w:p>
  </w:footnote>
  <w:footnote w:type="continuationSeparator" w:id="0">
    <w:p w14:paraId="368D920C" w14:textId="77777777" w:rsidR="00EB08B0" w:rsidRDefault="00EB08B0" w:rsidP="00C0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486B" w14:textId="4F006811" w:rsidR="00E472D6" w:rsidRDefault="00E472D6">
    <w:pPr>
      <w:pStyle w:val="Header"/>
    </w:pPr>
    <w:r>
      <w:rPr>
        <w:noProof/>
      </w:rPr>
      <w:drawing>
        <wp:inline distT="0" distB="0" distL="0" distR="0" wp14:anchorId="57AADF47" wp14:editId="680BBF63">
          <wp:extent cx="1828800" cy="449783"/>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52" cy="450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68FD0"/>
    <w:multiLevelType w:val="hybridMultilevel"/>
    <w:tmpl w:val="9078F2F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0F7556"/>
    <w:multiLevelType w:val="hybridMultilevel"/>
    <w:tmpl w:val="1218EAB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787787"/>
    <w:multiLevelType w:val="hybridMultilevel"/>
    <w:tmpl w:val="59C2B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D8F7AA"/>
    <w:multiLevelType w:val="hybridMultilevel"/>
    <w:tmpl w:val="5EE54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C49786"/>
    <w:multiLevelType w:val="hybridMultilevel"/>
    <w:tmpl w:val="38563D3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537328"/>
    <w:multiLevelType w:val="hybridMultilevel"/>
    <w:tmpl w:val="3A9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56789"/>
    <w:multiLevelType w:val="hybridMultilevel"/>
    <w:tmpl w:val="61E276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2F103A2"/>
    <w:multiLevelType w:val="hybridMultilevel"/>
    <w:tmpl w:val="4C6748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682214"/>
    <w:multiLevelType w:val="hybridMultilevel"/>
    <w:tmpl w:val="0FF4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E43E0"/>
    <w:multiLevelType w:val="hybridMultilevel"/>
    <w:tmpl w:val="7034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941A8"/>
    <w:multiLevelType w:val="hybridMultilevel"/>
    <w:tmpl w:val="FF3C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A479B9"/>
    <w:multiLevelType w:val="multilevel"/>
    <w:tmpl w:val="11E8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B69BC"/>
    <w:multiLevelType w:val="hybridMultilevel"/>
    <w:tmpl w:val="2F64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A2236"/>
    <w:multiLevelType w:val="hybridMultilevel"/>
    <w:tmpl w:val="3D88DD7E"/>
    <w:lvl w:ilvl="0" w:tplc="E154E242">
      <w:start w:val="1"/>
      <w:numFmt w:val="bullet"/>
      <w:lvlText w:val="•"/>
      <w:lvlJc w:val="left"/>
      <w:pPr>
        <w:tabs>
          <w:tab w:val="num" w:pos="720"/>
        </w:tabs>
        <w:ind w:left="720" w:hanging="360"/>
      </w:pPr>
      <w:rPr>
        <w:rFonts w:ascii="Arial" w:hAnsi="Arial" w:hint="default"/>
      </w:rPr>
    </w:lvl>
    <w:lvl w:ilvl="1" w:tplc="BE7AC628">
      <w:numFmt w:val="bullet"/>
      <w:lvlText w:val="–"/>
      <w:lvlJc w:val="left"/>
      <w:pPr>
        <w:tabs>
          <w:tab w:val="num" w:pos="1440"/>
        </w:tabs>
        <w:ind w:left="1440" w:hanging="360"/>
      </w:pPr>
      <w:rPr>
        <w:rFonts w:ascii="Arial" w:hAnsi="Arial" w:hint="default"/>
      </w:rPr>
    </w:lvl>
    <w:lvl w:ilvl="2" w:tplc="791EDB4E" w:tentative="1">
      <w:start w:val="1"/>
      <w:numFmt w:val="bullet"/>
      <w:lvlText w:val="•"/>
      <w:lvlJc w:val="left"/>
      <w:pPr>
        <w:tabs>
          <w:tab w:val="num" w:pos="2160"/>
        </w:tabs>
        <w:ind w:left="2160" w:hanging="360"/>
      </w:pPr>
      <w:rPr>
        <w:rFonts w:ascii="Arial" w:hAnsi="Arial" w:hint="default"/>
      </w:rPr>
    </w:lvl>
    <w:lvl w:ilvl="3" w:tplc="B77242E8" w:tentative="1">
      <w:start w:val="1"/>
      <w:numFmt w:val="bullet"/>
      <w:lvlText w:val="•"/>
      <w:lvlJc w:val="left"/>
      <w:pPr>
        <w:tabs>
          <w:tab w:val="num" w:pos="2880"/>
        </w:tabs>
        <w:ind w:left="2880" w:hanging="360"/>
      </w:pPr>
      <w:rPr>
        <w:rFonts w:ascii="Arial" w:hAnsi="Arial" w:hint="default"/>
      </w:rPr>
    </w:lvl>
    <w:lvl w:ilvl="4" w:tplc="2E5036D2" w:tentative="1">
      <w:start w:val="1"/>
      <w:numFmt w:val="bullet"/>
      <w:lvlText w:val="•"/>
      <w:lvlJc w:val="left"/>
      <w:pPr>
        <w:tabs>
          <w:tab w:val="num" w:pos="3600"/>
        </w:tabs>
        <w:ind w:left="3600" w:hanging="360"/>
      </w:pPr>
      <w:rPr>
        <w:rFonts w:ascii="Arial" w:hAnsi="Arial" w:hint="default"/>
      </w:rPr>
    </w:lvl>
    <w:lvl w:ilvl="5" w:tplc="5E7882DC" w:tentative="1">
      <w:start w:val="1"/>
      <w:numFmt w:val="bullet"/>
      <w:lvlText w:val="•"/>
      <w:lvlJc w:val="left"/>
      <w:pPr>
        <w:tabs>
          <w:tab w:val="num" w:pos="4320"/>
        </w:tabs>
        <w:ind w:left="4320" w:hanging="360"/>
      </w:pPr>
      <w:rPr>
        <w:rFonts w:ascii="Arial" w:hAnsi="Arial" w:hint="default"/>
      </w:rPr>
    </w:lvl>
    <w:lvl w:ilvl="6" w:tplc="B99E70F8" w:tentative="1">
      <w:start w:val="1"/>
      <w:numFmt w:val="bullet"/>
      <w:lvlText w:val="•"/>
      <w:lvlJc w:val="left"/>
      <w:pPr>
        <w:tabs>
          <w:tab w:val="num" w:pos="5040"/>
        </w:tabs>
        <w:ind w:left="5040" w:hanging="360"/>
      </w:pPr>
      <w:rPr>
        <w:rFonts w:ascii="Arial" w:hAnsi="Arial" w:hint="default"/>
      </w:rPr>
    </w:lvl>
    <w:lvl w:ilvl="7" w:tplc="32EAB6FA" w:tentative="1">
      <w:start w:val="1"/>
      <w:numFmt w:val="bullet"/>
      <w:lvlText w:val="•"/>
      <w:lvlJc w:val="left"/>
      <w:pPr>
        <w:tabs>
          <w:tab w:val="num" w:pos="5760"/>
        </w:tabs>
        <w:ind w:left="5760" w:hanging="360"/>
      </w:pPr>
      <w:rPr>
        <w:rFonts w:ascii="Arial" w:hAnsi="Arial" w:hint="default"/>
      </w:rPr>
    </w:lvl>
    <w:lvl w:ilvl="8" w:tplc="452028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4A8AA0"/>
    <w:multiLevelType w:val="multilevel"/>
    <w:tmpl w:val="038A0E28"/>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5B0A36"/>
    <w:multiLevelType w:val="hybridMultilevel"/>
    <w:tmpl w:val="5EC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A2347"/>
    <w:multiLevelType w:val="hybridMultilevel"/>
    <w:tmpl w:val="3D1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865BB"/>
    <w:multiLevelType w:val="multilevel"/>
    <w:tmpl w:val="18B0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62718"/>
    <w:multiLevelType w:val="hybridMultilevel"/>
    <w:tmpl w:val="1F0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B4E79"/>
    <w:multiLevelType w:val="multilevel"/>
    <w:tmpl w:val="951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45E8C"/>
    <w:multiLevelType w:val="hybridMultilevel"/>
    <w:tmpl w:val="A9EE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3487D"/>
    <w:multiLevelType w:val="hybridMultilevel"/>
    <w:tmpl w:val="6D1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D0870"/>
    <w:multiLevelType w:val="hybridMultilevel"/>
    <w:tmpl w:val="A07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2354C"/>
    <w:multiLevelType w:val="multilevel"/>
    <w:tmpl w:val="EA509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14A74"/>
    <w:multiLevelType w:val="hybridMultilevel"/>
    <w:tmpl w:val="EDD249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E327D5A">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FB95F8E"/>
    <w:multiLevelType w:val="multilevel"/>
    <w:tmpl w:val="21E6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D0D6B"/>
    <w:multiLevelType w:val="hybridMultilevel"/>
    <w:tmpl w:val="EA14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75C6C"/>
    <w:multiLevelType w:val="hybridMultilevel"/>
    <w:tmpl w:val="CF9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BA3C6"/>
    <w:multiLevelType w:val="hybridMultilevel"/>
    <w:tmpl w:val="E1BE4F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0537CB"/>
    <w:multiLevelType w:val="hybridMultilevel"/>
    <w:tmpl w:val="35C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83F66"/>
    <w:multiLevelType w:val="hybridMultilevel"/>
    <w:tmpl w:val="EA3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FBE93"/>
    <w:multiLevelType w:val="hybridMultilevel"/>
    <w:tmpl w:val="DB4AAD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25"/>
  </w:num>
  <w:num w:numId="3">
    <w:abstractNumId w:val="13"/>
  </w:num>
  <w:num w:numId="4">
    <w:abstractNumId w:val="2"/>
  </w:num>
  <w:num w:numId="5">
    <w:abstractNumId w:val="29"/>
  </w:num>
  <w:num w:numId="6">
    <w:abstractNumId w:val="14"/>
  </w:num>
  <w:num w:numId="7">
    <w:abstractNumId w:val="21"/>
  </w:num>
  <w:num w:numId="8">
    <w:abstractNumId w:val="1"/>
  </w:num>
  <w:num w:numId="9">
    <w:abstractNumId w:val="33"/>
  </w:num>
  <w:num w:numId="10">
    <w:abstractNumId w:val="3"/>
  </w:num>
  <w:num w:numId="11">
    <w:abstractNumId w:val="10"/>
  </w:num>
  <w:num w:numId="12">
    <w:abstractNumId w:val="16"/>
  </w:num>
  <w:num w:numId="13">
    <w:abstractNumId w:val="18"/>
  </w:num>
  <w:num w:numId="14">
    <w:abstractNumId w:val="30"/>
  </w:num>
  <w:num w:numId="15">
    <w:abstractNumId w:val="9"/>
  </w:num>
  <w:num w:numId="16">
    <w:abstractNumId w:val="23"/>
  </w:num>
  <w:num w:numId="17">
    <w:abstractNumId w:val="11"/>
  </w:num>
  <w:num w:numId="18">
    <w:abstractNumId w:val="20"/>
  </w:num>
  <w:num w:numId="19">
    <w:abstractNumId w:val="4"/>
  </w:num>
  <w:num w:numId="20">
    <w:abstractNumId w:val="7"/>
  </w:num>
  <w:num w:numId="21">
    <w:abstractNumId w:val="0"/>
  </w:num>
  <w:num w:numId="22">
    <w:abstractNumId w:val="32"/>
  </w:num>
  <w:num w:numId="23">
    <w:abstractNumId w:val="12"/>
  </w:num>
  <w:num w:numId="24">
    <w:abstractNumId w:val="24"/>
  </w:num>
  <w:num w:numId="25">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19"/>
  </w:num>
  <w:num w:numId="29">
    <w:abstractNumId w:val="5"/>
  </w:num>
  <w:num w:numId="30">
    <w:abstractNumId w:val="6"/>
  </w:num>
  <w:num w:numId="31">
    <w:abstractNumId w:val="28"/>
  </w:num>
  <w:num w:numId="32">
    <w:abstractNumId w:val="15"/>
  </w:num>
  <w:num w:numId="33">
    <w:abstractNumId w:val="31"/>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B5"/>
    <w:rsid w:val="00001D17"/>
    <w:rsid w:val="00004C0C"/>
    <w:rsid w:val="00006468"/>
    <w:rsid w:val="0000786A"/>
    <w:rsid w:val="00026B64"/>
    <w:rsid w:val="00035125"/>
    <w:rsid w:val="00037382"/>
    <w:rsid w:val="00053336"/>
    <w:rsid w:val="00053C56"/>
    <w:rsid w:val="00064864"/>
    <w:rsid w:val="00066492"/>
    <w:rsid w:val="0007152D"/>
    <w:rsid w:val="00074F36"/>
    <w:rsid w:val="00087843"/>
    <w:rsid w:val="000918CB"/>
    <w:rsid w:val="00096BCD"/>
    <w:rsid w:val="00096D7B"/>
    <w:rsid w:val="000A07F9"/>
    <w:rsid w:val="000B0803"/>
    <w:rsid w:val="000C082F"/>
    <w:rsid w:val="000C16C5"/>
    <w:rsid w:val="000C1E39"/>
    <w:rsid w:val="000C28A6"/>
    <w:rsid w:val="000E3965"/>
    <w:rsid w:val="000E73D3"/>
    <w:rsid w:val="000F2435"/>
    <w:rsid w:val="000F5E5D"/>
    <w:rsid w:val="00100C83"/>
    <w:rsid w:val="00104ABD"/>
    <w:rsid w:val="00111664"/>
    <w:rsid w:val="00115832"/>
    <w:rsid w:val="001177C2"/>
    <w:rsid w:val="00122DF6"/>
    <w:rsid w:val="0015014A"/>
    <w:rsid w:val="00150499"/>
    <w:rsid w:val="00152192"/>
    <w:rsid w:val="001533E5"/>
    <w:rsid w:val="001563D8"/>
    <w:rsid w:val="00167E99"/>
    <w:rsid w:val="00171ABC"/>
    <w:rsid w:val="00171FCF"/>
    <w:rsid w:val="00174AE7"/>
    <w:rsid w:val="001A38CE"/>
    <w:rsid w:val="001A4442"/>
    <w:rsid w:val="001A47AF"/>
    <w:rsid w:val="001A7A33"/>
    <w:rsid w:val="001B0F13"/>
    <w:rsid w:val="001B1CFD"/>
    <w:rsid w:val="001B71C0"/>
    <w:rsid w:val="001C0E44"/>
    <w:rsid w:val="001C13C1"/>
    <w:rsid w:val="001C506B"/>
    <w:rsid w:val="001D0AF0"/>
    <w:rsid w:val="001D50F6"/>
    <w:rsid w:val="001F087D"/>
    <w:rsid w:val="001F0FD7"/>
    <w:rsid w:val="001F161F"/>
    <w:rsid w:val="00220B8E"/>
    <w:rsid w:val="002367CA"/>
    <w:rsid w:val="00240DAD"/>
    <w:rsid w:val="00250029"/>
    <w:rsid w:val="0025107C"/>
    <w:rsid w:val="0025286D"/>
    <w:rsid w:val="002534EE"/>
    <w:rsid w:val="00254C1E"/>
    <w:rsid w:val="00266D15"/>
    <w:rsid w:val="00273FFF"/>
    <w:rsid w:val="00275D20"/>
    <w:rsid w:val="0027699F"/>
    <w:rsid w:val="00284B70"/>
    <w:rsid w:val="002939E6"/>
    <w:rsid w:val="00293B31"/>
    <w:rsid w:val="002A0C80"/>
    <w:rsid w:val="002A4C5F"/>
    <w:rsid w:val="002B291F"/>
    <w:rsid w:val="002C59BB"/>
    <w:rsid w:val="002C6E84"/>
    <w:rsid w:val="002E0BFC"/>
    <w:rsid w:val="002E3D0A"/>
    <w:rsid w:val="002E4E01"/>
    <w:rsid w:val="003043FA"/>
    <w:rsid w:val="00305C4B"/>
    <w:rsid w:val="003062DD"/>
    <w:rsid w:val="00310310"/>
    <w:rsid w:val="003179AB"/>
    <w:rsid w:val="0032356F"/>
    <w:rsid w:val="00326AD6"/>
    <w:rsid w:val="00332D0F"/>
    <w:rsid w:val="00341727"/>
    <w:rsid w:val="00352B9D"/>
    <w:rsid w:val="003604CB"/>
    <w:rsid w:val="00365CB5"/>
    <w:rsid w:val="00367585"/>
    <w:rsid w:val="00373816"/>
    <w:rsid w:val="00380C03"/>
    <w:rsid w:val="00384BB4"/>
    <w:rsid w:val="003855FD"/>
    <w:rsid w:val="00390DC1"/>
    <w:rsid w:val="00391C9E"/>
    <w:rsid w:val="00392118"/>
    <w:rsid w:val="0039231C"/>
    <w:rsid w:val="0039596F"/>
    <w:rsid w:val="003A515B"/>
    <w:rsid w:val="003A7AB2"/>
    <w:rsid w:val="003B0B0D"/>
    <w:rsid w:val="003B3334"/>
    <w:rsid w:val="003B7E19"/>
    <w:rsid w:val="003C39DF"/>
    <w:rsid w:val="003D5048"/>
    <w:rsid w:val="003E46B7"/>
    <w:rsid w:val="003F0762"/>
    <w:rsid w:val="003F3657"/>
    <w:rsid w:val="004038F8"/>
    <w:rsid w:val="0041048A"/>
    <w:rsid w:val="0042134D"/>
    <w:rsid w:val="004215E1"/>
    <w:rsid w:val="00421E4C"/>
    <w:rsid w:val="00422E59"/>
    <w:rsid w:val="004231A3"/>
    <w:rsid w:val="00427019"/>
    <w:rsid w:val="00434094"/>
    <w:rsid w:val="004440B9"/>
    <w:rsid w:val="004441C2"/>
    <w:rsid w:val="004512B6"/>
    <w:rsid w:val="004546DB"/>
    <w:rsid w:val="0045595E"/>
    <w:rsid w:val="00460DF8"/>
    <w:rsid w:val="00464D58"/>
    <w:rsid w:val="00473138"/>
    <w:rsid w:val="004733F7"/>
    <w:rsid w:val="00474896"/>
    <w:rsid w:val="004872FD"/>
    <w:rsid w:val="00490B83"/>
    <w:rsid w:val="00492CA5"/>
    <w:rsid w:val="004A56FF"/>
    <w:rsid w:val="004B7AA9"/>
    <w:rsid w:val="004C0414"/>
    <w:rsid w:val="004C3C0E"/>
    <w:rsid w:val="004C7120"/>
    <w:rsid w:val="004D231F"/>
    <w:rsid w:val="004D52F3"/>
    <w:rsid w:val="004D60D1"/>
    <w:rsid w:val="00501CDF"/>
    <w:rsid w:val="0050405F"/>
    <w:rsid w:val="005130FA"/>
    <w:rsid w:val="00514CAF"/>
    <w:rsid w:val="00514DAE"/>
    <w:rsid w:val="0052013D"/>
    <w:rsid w:val="0052236A"/>
    <w:rsid w:val="00522ACD"/>
    <w:rsid w:val="00533CD0"/>
    <w:rsid w:val="005353FF"/>
    <w:rsid w:val="005525B7"/>
    <w:rsid w:val="005532F0"/>
    <w:rsid w:val="005619F7"/>
    <w:rsid w:val="00571CE1"/>
    <w:rsid w:val="00571E8C"/>
    <w:rsid w:val="00573E4D"/>
    <w:rsid w:val="005746A8"/>
    <w:rsid w:val="00581B39"/>
    <w:rsid w:val="00582FF2"/>
    <w:rsid w:val="00586D6D"/>
    <w:rsid w:val="005929F7"/>
    <w:rsid w:val="00593DB9"/>
    <w:rsid w:val="00597D9D"/>
    <w:rsid w:val="005A0EE5"/>
    <w:rsid w:val="005A3DF8"/>
    <w:rsid w:val="005B5ECB"/>
    <w:rsid w:val="005C09AE"/>
    <w:rsid w:val="005C257C"/>
    <w:rsid w:val="005C4679"/>
    <w:rsid w:val="005D3F9B"/>
    <w:rsid w:val="005D4AA5"/>
    <w:rsid w:val="005E336A"/>
    <w:rsid w:val="005E4204"/>
    <w:rsid w:val="005E78E7"/>
    <w:rsid w:val="005F342B"/>
    <w:rsid w:val="00600104"/>
    <w:rsid w:val="00606CD0"/>
    <w:rsid w:val="00610598"/>
    <w:rsid w:val="00616E9B"/>
    <w:rsid w:val="00641DF8"/>
    <w:rsid w:val="00644252"/>
    <w:rsid w:val="00644549"/>
    <w:rsid w:val="0066271E"/>
    <w:rsid w:val="00664198"/>
    <w:rsid w:val="0067125B"/>
    <w:rsid w:val="00676F62"/>
    <w:rsid w:val="0068116A"/>
    <w:rsid w:val="006902BE"/>
    <w:rsid w:val="006A0B57"/>
    <w:rsid w:val="006B02DF"/>
    <w:rsid w:val="006B1D4E"/>
    <w:rsid w:val="006C4C55"/>
    <w:rsid w:val="006C521A"/>
    <w:rsid w:val="006C65F0"/>
    <w:rsid w:val="006C6CC5"/>
    <w:rsid w:val="006D0980"/>
    <w:rsid w:val="006E03FA"/>
    <w:rsid w:val="006E7A95"/>
    <w:rsid w:val="006F2D4D"/>
    <w:rsid w:val="006F6493"/>
    <w:rsid w:val="006F6C86"/>
    <w:rsid w:val="00715E4F"/>
    <w:rsid w:val="007214B1"/>
    <w:rsid w:val="007366A0"/>
    <w:rsid w:val="00737943"/>
    <w:rsid w:val="00741CF8"/>
    <w:rsid w:val="007531EE"/>
    <w:rsid w:val="00755C52"/>
    <w:rsid w:val="00763BCC"/>
    <w:rsid w:val="00772F16"/>
    <w:rsid w:val="00776381"/>
    <w:rsid w:val="0077690B"/>
    <w:rsid w:val="007808DD"/>
    <w:rsid w:val="007B15E4"/>
    <w:rsid w:val="007B3EDA"/>
    <w:rsid w:val="007B4A29"/>
    <w:rsid w:val="007C4602"/>
    <w:rsid w:val="007C4DEC"/>
    <w:rsid w:val="007C71AF"/>
    <w:rsid w:val="007D37F6"/>
    <w:rsid w:val="007D47A2"/>
    <w:rsid w:val="007E031F"/>
    <w:rsid w:val="007E45A9"/>
    <w:rsid w:val="00804E7B"/>
    <w:rsid w:val="00811FE5"/>
    <w:rsid w:val="00813576"/>
    <w:rsid w:val="008160F9"/>
    <w:rsid w:val="00822031"/>
    <w:rsid w:val="0082642D"/>
    <w:rsid w:val="00847A07"/>
    <w:rsid w:val="00860851"/>
    <w:rsid w:val="00864C46"/>
    <w:rsid w:val="00873486"/>
    <w:rsid w:val="00883CEF"/>
    <w:rsid w:val="00885696"/>
    <w:rsid w:val="008A622F"/>
    <w:rsid w:val="008C0202"/>
    <w:rsid w:val="008E500A"/>
    <w:rsid w:val="008E585C"/>
    <w:rsid w:val="008E6900"/>
    <w:rsid w:val="008F0F28"/>
    <w:rsid w:val="008F43FB"/>
    <w:rsid w:val="008F5118"/>
    <w:rsid w:val="008F5752"/>
    <w:rsid w:val="009001AC"/>
    <w:rsid w:val="00904E9D"/>
    <w:rsid w:val="0090732B"/>
    <w:rsid w:val="00907E38"/>
    <w:rsid w:val="009130ED"/>
    <w:rsid w:val="00913263"/>
    <w:rsid w:val="00920BC3"/>
    <w:rsid w:val="00921A49"/>
    <w:rsid w:val="00930297"/>
    <w:rsid w:val="009310F0"/>
    <w:rsid w:val="009312E1"/>
    <w:rsid w:val="00931A71"/>
    <w:rsid w:val="00932751"/>
    <w:rsid w:val="00934C97"/>
    <w:rsid w:val="00953CC2"/>
    <w:rsid w:val="009561D2"/>
    <w:rsid w:val="009576A3"/>
    <w:rsid w:val="00963FB7"/>
    <w:rsid w:val="009650F3"/>
    <w:rsid w:val="00967217"/>
    <w:rsid w:val="0097266C"/>
    <w:rsid w:val="00983920"/>
    <w:rsid w:val="009915D4"/>
    <w:rsid w:val="009918BA"/>
    <w:rsid w:val="009B000A"/>
    <w:rsid w:val="009B42FB"/>
    <w:rsid w:val="009B7C30"/>
    <w:rsid w:val="009C0386"/>
    <w:rsid w:val="009C0886"/>
    <w:rsid w:val="009C502F"/>
    <w:rsid w:val="009D2A6F"/>
    <w:rsid w:val="009D4F68"/>
    <w:rsid w:val="009D523B"/>
    <w:rsid w:val="009F79D4"/>
    <w:rsid w:val="00A00AAD"/>
    <w:rsid w:val="00A016A8"/>
    <w:rsid w:val="00A04028"/>
    <w:rsid w:val="00A04C8C"/>
    <w:rsid w:val="00A102AF"/>
    <w:rsid w:val="00A1763C"/>
    <w:rsid w:val="00A238E2"/>
    <w:rsid w:val="00A23F2F"/>
    <w:rsid w:val="00A26AE5"/>
    <w:rsid w:val="00A42968"/>
    <w:rsid w:val="00A605CB"/>
    <w:rsid w:val="00A611F4"/>
    <w:rsid w:val="00A714C2"/>
    <w:rsid w:val="00A77228"/>
    <w:rsid w:val="00A90309"/>
    <w:rsid w:val="00A924B6"/>
    <w:rsid w:val="00A97348"/>
    <w:rsid w:val="00AA5525"/>
    <w:rsid w:val="00AA75B2"/>
    <w:rsid w:val="00AB1687"/>
    <w:rsid w:val="00AB1DA1"/>
    <w:rsid w:val="00AC2BF4"/>
    <w:rsid w:val="00AC697B"/>
    <w:rsid w:val="00AD38E3"/>
    <w:rsid w:val="00AD4968"/>
    <w:rsid w:val="00AD678B"/>
    <w:rsid w:val="00AF27DA"/>
    <w:rsid w:val="00AF2DE5"/>
    <w:rsid w:val="00AF559B"/>
    <w:rsid w:val="00B002EA"/>
    <w:rsid w:val="00B06762"/>
    <w:rsid w:val="00B14112"/>
    <w:rsid w:val="00B204FA"/>
    <w:rsid w:val="00B22B50"/>
    <w:rsid w:val="00B266C9"/>
    <w:rsid w:val="00B34045"/>
    <w:rsid w:val="00B3423E"/>
    <w:rsid w:val="00B359FD"/>
    <w:rsid w:val="00B37679"/>
    <w:rsid w:val="00B40355"/>
    <w:rsid w:val="00B4508C"/>
    <w:rsid w:val="00B4581F"/>
    <w:rsid w:val="00B50CAB"/>
    <w:rsid w:val="00B53406"/>
    <w:rsid w:val="00B56F83"/>
    <w:rsid w:val="00B57783"/>
    <w:rsid w:val="00B66ABF"/>
    <w:rsid w:val="00B74DD5"/>
    <w:rsid w:val="00B764FA"/>
    <w:rsid w:val="00B81EB6"/>
    <w:rsid w:val="00B864F5"/>
    <w:rsid w:val="00B87315"/>
    <w:rsid w:val="00B900FE"/>
    <w:rsid w:val="00B9705C"/>
    <w:rsid w:val="00B97138"/>
    <w:rsid w:val="00BA1A15"/>
    <w:rsid w:val="00BA30C8"/>
    <w:rsid w:val="00BB125C"/>
    <w:rsid w:val="00BC49EC"/>
    <w:rsid w:val="00BD40E0"/>
    <w:rsid w:val="00BD53B1"/>
    <w:rsid w:val="00BE204A"/>
    <w:rsid w:val="00BE74E1"/>
    <w:rsid w:val="00BF1E84"/>
    <w:rsid w:val="00BF24EE"/>
    <w:rsid w:val="00BF4A0D"/>
    <w:rsid w:val="00C0104D"/>
    <w:rsid w:val="00C075E0"/>
    <w:rsid w:val="00C132B1"/>
    <w:rsid w:val="00C24F52"/>
    <w:rsid w:val="00C325AC"/>
    <w:rsid w:val="00C34F1C"/>
    <w:rsid w:val="00C41C5E"/>
    <w:rsid w:val="00C50F24"/>
    <w:rsid w:val="00C565DC"/>
    <w:rsid w:val="00C611B2"/>
    <w:rsid w:val="00C64870"/>
    <w:rsid w:val="00C80047"/>
    <w:rsid w:val="00C863C9"/>
    <w:rsid w:val="00C90A67"/>
    <w:rsid w:val="00C97B21"/>
    <w:rsid w:val="00CA39E2"/>
    <w:rsid w:val="00CB74C6"/>
    <w:rsid w:val="00CB7669"/>
    <w:rsid w:val="00CD0906"/>
    <w:rsid w:val="00CD0A64"/>
    <w:rsid w:val="00CD33DC"/>
    <w:rsid w:val="00CD4D92"/>
    <w:rsid w:val="00CD54DE"/>
    <w:rsid w:val="00CD5512"/>
    <w:rsid w:val="00CE4CE7"/>
    <w:rsid w:val="00CE783B"/>
    <w:rsid w:val="00CF1B62"/>
    <w:rsid w:val="00CF558D"/>
    <w:rsid w:val="00D0280E"/>
    <w:rsid w:val="00D02FF3"/>
    <w:rsid w:val="00D1561F"/>
    <w:rsid w:val="00D22F5B"/>
    <w:rsid w:val="00D445EA"/>
    <w:rsid w:val="00D51000"/>
    <w:rsid w:val="00D71577"/>
    <w:rsid w:val="00D75174"/>
    <w:rsid w:val="00D7745D"/>
    <w:rsid w:val="00D86FA3"/>
    <w:rsid w:val="00D90B24"/>
    <w:rsid w:val="00D9416A"/>
    <w:rsid w:val="00DA1C03"/>
    <w:rsid w:val="00DA40DB"/>
    <w:rsid w:val="00DA77C9"/>
    <w:rsid w:val="00DB7788"/>
    <w:rsid w:val="00DC37FE"/>
    <w:rsid w:val="00DD4EF3"/>
    <w:rsid w:val="00DE2D22"/>
    <w:rsid w:val="00DE75D3"/>
    <w:rsid w:val="00DF1EB0"/>
    <w:rsid w:val="00E05CD3"/>
    <w:rsid w:val="00E064F8"/>
    <w:rsid w:val="00E119AD"/>
    <w:rsid w:val="00E23404"/>
    <w:rsid w:val="00E30124"/>
    <w:rsid w:val="00E3282D"/>
    <w:rsid w:val="00E41764"/>
    <w:rsid w:val="00E45992"/>
    <w:rsid w:val="00E45E10"/>
    <w:rsid w:val="00E45E38"/>
    <w:rsid w:val="00E472D6"/>
    <w:rsid w:val="00E561CC"/>
    <w:rsid w:val="00E56227"/>
    <w:rsid w:val="00E97DEA"/>
    <w:rsid w:val="00EA339F"/>
    <w:rsid w:val="00EA5372"/>
    <w:rsid w:val="00EB08B0"/>
    <w:rsid w:val="00EB6531"/>
    <w:rsid w:val="00EC0CB5"/>
    <w:rsid w:val="00EC5F9C"/>
    <w:rsid w:val="00EC7648"/>
    <w:rsid w:val="00ED0795"/>
    <w:rsid w:val="00EE5111"/>
    <w:rsid w:val="00EF743D"/>
    <w:rsid w:val="00F05BE6"/>
    <w:rsid w:val="00F1468A"/>
    <w:rsid w:val="00F3598D"/>
    <w:rsid w:val="00F411EB"/>
    <w:rsid w:val="00F44706"/>
    <w:rsid w:val="00F52405"/>
    <w:rsid w:val="00F56429"/>
    <w:rsid w:val="00F5665F"/>
    <w:rsid w:val="00F620A6"/>
    <w:rsid w:val="00F62457"/>
    <w:rsid w:val="00F6346A"/>
    <w:rsid w:val="00F660E1"/>
    <w:rsid w:val="00F82231"/>
    <w:rsid w:val="00FA6B36"/>
    <w:rsid w:val="00FB485F"/>
    <w:rsid w:val="00FB6CCD"/>
    <w:rsid w:val="00FC1E1F"/>
    <w:rsid w:val="00FC7A5F"/>
    <w:rsid w:val="00FD30AE"/>
    <w:rsid w:val="00FE4B85"/>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B4CB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CD"/>
  </w:style>
  <w:style w:type="paragraph" w:styleId="Heading1">
    <w:name w:val="heading 1"/>
    <w:basedOn w:val="Normal"/>
    <w:link w:val="Heading1Char"/>
    <w:uiPriority w:val="9"/>
    <w:qFormat/>
    <w:rsid w:val="0036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44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B0D"/>
    <w:pPr>
      <w:keepNext/>
      <w:keepLines/>
      <w:spacing w:before="200" w:after="0"/>
      <w:outlineLvl w:val="2"/>
    </w:pPr>
    <w:rPr>
      <w:rFonts w:cstheme="majorBidi"/>
      <w:b/>
      <w:bCs/>
      <w:color w:val="4F81BD" w:themeColor="accent1"/>
      <w:sz w:val="24"/>
      <w:szCs w:val="24"/>
    </w:rPr>
  </w:style>
  <w:style w:type="paragraph" w:styleId="Heading4">
    <w:name w:val="heading 4"/>
    <w:basedOn w:val="Normal"/>
    <w:next w:val="Normal"/>
    <w:link w:val="Heading4Char"/>
    <w:uiPriority w:val="9"/>
    <w:unhideWhenUsed/>
    <w:qFormat/>
    <w:rsid w:val="00F524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24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C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5CB5"/>
    <w:rPr>
      <w:color w:val="0000FF"/>
      <w:u w:val="single"/>
    </w:rPr>
  </w:style>
  <w:style w:type="paragraph" w:styleId="NormalWeb">
    <w:name w:val="Normal (Web)"/>
    <w:basedOn w:val="Normal"/>
    <w:uiPriority w:val="99"/>
    <w:unhideWhenUsed/>
    <w:rsid w:val="00365C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CB5"/>
    <w:rPr>
      <w:i/>
      <w:iCs/>
    </w:rPr>
  </w:style>
  <w:style w:type="character" w:styleId="Strong">
    <w:name w:val="Strong"/>
    <w:basedOn w:val="DefaultParagraphFont"/>
    <w:uiPriority w:val="22"/>
    <w:qFormat/>
    <w:rsid w:val="00D445EA"/>
    <w:rPr>
      <w:b/>
      <w:bCs/>
    </w:rPr>
  </w:style>
  <w:style w:type="character" w:customStyle="1" w:styleId="Heading2Char">
    <w:name w:val="Heading 2 Char"/>
    <w:basedOn w:val="DefaultParagraphFont"/>
    <w:link w:val="Heading2"/>
    <w:uiPriority w:val="9"/>
    <w:rsid w:val="00D445E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rsid w:val="002E4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7A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E500A"/>
    <w:pPr>
      <w:spacing w:after="0" w:line="240" w:lineRule="auto"/>
    </w:pPr>
  </w:style>
  <w:style w:type="paragraph" w:styleId="BalloonText">
    <w:name w:val="Balloon Text"/>
    <w:basedOn w:val="Normal"/>
    <w:link w:val="BalloonTextChar"/>
    <w:uiPriority w:val="99"/>
    <w:semiHidden/>
    <w:unhideWhenUsed/>
    <w:rsid w:val="008E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0A"/>
    <w:rPr>
      <w:rFonts w:ascii="Tahoma" w:hAnsi="Tahoma" w:cs="Tahoma"/>
      <w:sz w:val="16"/>
      <w:szCs w:val="16"/>
    </w:rPr>
  </w:style>
  <w:style w:type="paragraph" w:customStyle="1" w:styleId="Pa6">
    <w:name w:val="Pa6"/>
    <w:basedOn w:val="Default"/>
    <w:next w:val="Default"/>
    <w:uiPriority w:val="99"/>
    <w:rsid w:val="00847A07"/>
    <w:pPr>
      <w:spacing w:line="241" w:lineRule="atLeast"/>
    </w:pPr>
    <w:rPr>
      <w:rFonts w:ascii="Times New Roman" w:hAnsi="Times New Roman" w:cs="Times New Roman"/>
      <w:color w:val="auto"/>
    </w:rPr>
  </w:style>
  <w:style w:type="paragraph" w:customStyle="1" w:styleId="A3">
    <w:name w:val="A3"/>
    <w:basedOn w:val="Default"/>
    <w:next w:val="Default"/>
    <w:uiPriority w:val="99"/>
    <w:rsid w:val="00847A07"/>
    <w:pPr>
      <w:spacing w:line="241" w:lineRule="atLeast"/>
    </w:pPr>
    <w:rPr>
      <w:rFonts w:ascii="Times New Roman" w:hAnsi="Times New Roman" w:cs="Times New Roman"/>
      <w:color w:val="auto"/>
      <w:u w:val="single"/>
    </w:rPr>
  </w:style>
  <w:style w:type="paragraph" w:styleId="PlainText">
    <w:name w:val="Plain Text"/>
    <w:basedOn w:val="Normal"/>
    <w:link w:val="PlainTextChar"/>
    <w:uiPriority w:val="99"/>
    <w:unhideWhenUsed/>
    <w:rsid w:val="00EF743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F743D"/>
    <w:rPr>
      <w:rFonts w:ascii="Calibri" w:hAnsi="Calibri" w:cs="Times New Roman"/>
    </w:rPr>
  </w:style>
  <w:style w:type="character" w:styleId="CommentReference">
    <w:name w:val="annotation reference"/>
    <w:basedOn w:val="DefaultParagraphFont"/>
    <w:uiPriority w:val="99"/>
    <w:semiHidden/>
    <w:unhideWhenUsed/>
    <w:rsid w:val="001B1CFD"/>
    <w:rPr>
      <w:sz w:val="16"/>
      <w:szCs w:val="16"/>
    </w:rPr>
  </w:style>
  <w:style w:type="paragraph" w:styleId="CommentText">
    <w:name w:val="annotation text"/>
    <w:basedOn w:val="Normal"/>
    <w:link w:val="CommentTextChar"/>
    <w:uiPriority w:val="99"/>
    <w:semiHidden/>
    <w:unhideWhenUsed/>
    <w:rsid w:val="001B1CFD"/>
    <w:pPr>
      <w:spacing w:line="240" w:lineRule="auto"/>
    </w:pPr>
    <w:rPr>
      <w:sz w:val="20"/>
      <w:szCs w:val="20"/>
    </w:rPr>
  </w:style>
  <w:style w:type="character" w:customStyle="1" w:styleId="CommentTextChar">
    <w:name w:val="Comment Text Char"/>
    <w:basedOn w:val="DefaultParagraphFont"/>
    <w:link w:val="CommentText"/>
    <w:uiPriority w:val="99"/>
    <w:semiHidden/>
    <w:rsid w:val="001B1CFD"/>
    <w:rPr>
      <w:sz w:val="20"/>
      <w:szCs w:val="20"/>
    </w:rPr>
  </w:style>
  <w:style w:type="paragraph" w:styleId="CommentSubject">
    <w:name w:val="annotation subject"/>
    <w:basedOn w:val="CommentText"/>
    <w:next w:val="CommentText"/>
    <w:link w:val="CommentSubjectChar"/>
    <w:uiPriority w:val="99"/>
    <w:semiHidden/>
    <w:unhideWhenUsed/>
    <w:rsid w:val="001B1CFD"/>
    <w:rPr>
      <w:b/>
      <w:bCs/>
    </w:rPr>
  </w:style>
  <w:style w:type="character" w:customStyle="1" w:styleId="CommentSubjectChar">
    <w:name w:val="Comment Subject Char"/>
    <w:basedOn w:val="CommentTextChar"/>
    <w:link w:val="CommentSubject"/>
    <w:uiPriority w:val="99"/>
    <w:semiHidden/>
    <w:rsid w:val="001B1CFD"/>
    <w:rPr>
      <w:b/>
      <w:bCs/>
      <w:sz w:val="20"/>
      <w:szCs w:val="20"/>
    </w:rPr>
  </w:style>
  <w:style w:type="character" w:styleId="IntenseEmphasis">
    <w:name w:val="Intense Emphasis"/>
    <w:basedOn w:val="DefaultParagraphFont"/>
    <w:uiPriority w:val="21"/>
    <w:qFormat/>
    <w:rsid w:val="007C4DEC"/>
    <w:rPr>
      <w:b/>
      <w:bCs/>
      <w:i/>
      <w:iCs/>
      <w:color w:val="4F81BD" w:themeColor="accent1"/>
    </w:rPr>
  </w:style>
  <w:style w:type="paragraph" w:styleId="Subtitle">
    <w:name w:val="Subtitle"/>
    <w:basedOn w:val="Normal"/>
    <w:next w:val="Normal"/>
    <w:link w:val="SubtitleChar"/>
    <w:uiPriority w:val="11"/>
    <w:qFormat/>
    <w:rsid w:val="009915D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915D4"/>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474896"/>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0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04D"/>
  </w:style>
  <w:style w:type="paragraph" w:styleId="Footer">
    <w:name w:val="footer"/>
    <w:basedOn w:val="Normal"/>
    <w:link w:val="FooterChar"/>
    <w:uiPriority w:val="99"/>
    <w:unhideWhenUsed/>
    <w:rsid w:val="00C0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04D"/>
  </w:style>
  <w:style w:type="character" w:customStyle="1" w:styleId="redtext">
    <w:name w:val="redtext"/>
    <w:basedOn w:val="DefaultParagraphFont"/>
    <w:rsid w:val="00B34045"/>
  </w:style>
  <w:style w:type="character" w:styleId="FollowedHyperlink">
    <w:name w:val="FollowedHyperlink"/>
    <w:basedOn w:val="DefaultParagraphFont"/>
    <w:uiPriority w:val="99"/>
    <w:semiHidden/>
    <w:unhideWhenUsed/>
    <w:rsid w:val="00885696"/>
    <w:rPr>
      <w:color w:val="800080" w:themeColor="followedHyperlink"/>
      <w:u w:val="single"/>
    </w:rPr>
  </w:style>
  <w:style w:type="character" w:customStyle="1" w:styleId="Heading3Char">
    <w:name w:val="Heading 3 Char"/>
    <w:basedOn w:val="DefaultParagraphFont"/>
    <w:link w:val="Heading3"/>
    <w:uiPriority w:val="9"/>
    <w:rsid w:val="003B0B0D"/>
    <w:rPr>
      <w:rFonts w:cstheme="majorBidi"/>
      <w:b/>
      <w:bCs/>
      <w:color w:val="4F81BD" w:themeColor="accent1"/>
      <w:sz w:val="24"/>
      <w:szCs w:val="24"/>
    </w:rPr>
  </w:style>
  <w:style w:type="character" w:customStyle="1" w:styleId="Heading4Char">
    <w:name w:val="Heading 4 Char"/>
    <w:basedOn w:val="DefaultParagraphFont"/>
    <w:link w:val="Heading4"/>
    <w:uiPriority w:val="9"/>
    <w:rsid w:val="00F5240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524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40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F52405"/>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A238E2"/>
    <w:pPr>
      <w:spacing w:after="0" w:line="240" w:lineRule="auto"/>
    </w:pPr>
    <w:rPr>
      <w:sz w:val="24"/>
      <w:szCs w:val="24"/>
    </w:rPr>
  </w:style>
  <w:style w:type="character" w:customStyle="1" w:styleId="FootnoteTextChar">
    <w:name w:val="Footnote Text Char"/>
    <w:basedOn w:val="DefaultParagraphFont"/>
    <w:link w:val="FootnoteText"/>
    <w:uiPriority w:val="99"/>
    <w:rsid w:val="00A238E2"/>
    <w:rPr>
      <w:sz w:val="24"/>
      <w:szCs w:val="24"/>
    </w:rPr>
  </w:style>
  <w:style w:type="character" w:styleId="FootnoteReference">
    <w:name w:val="footnote reference"/>
    <w:basedOn w:val="DefaultParagraphFont"/>
    <w:uiPriority w:val="99"/>
    <w:unhideWhenUsed/>
    <w:rsid w:val="00A23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79">
      <w:bodyDiv w:val="1"/>
      <w:marLeft w:val="0"/>
      <w:marRight w:val="0"/>
      <w:marTop w:val="0"/>
      <w:marBottom w:val="0"/>
      <w:divBdr>
        <w:top w:val="none" w:sz="0" w:space="0" w:color="auto"/>
        <w:left w:val="none" w:sz="0" w:space="0" w:color="auto"/>
        <w:bottom w:val="none" w:sz="0" w:space="0" w:color="auto"/>
        <w:right w:val="none" w:sz="0" w:space="0" w:color="auto"/>
      </w:divBdr>
      <w:divsChild>
        <w:div w:id="367419479">
          <w:marLeft w:val="0"/>
          <w:marRight w:val="0"/>
          <w:marTop w:val="0"/>
          <w:marBottom w:val="0"/>
          <w:divBdr>
            <w:top w:val="none" w:sz="0" w:space="0" w:color="auto"/>
            <w:left w:val="none" w:sz="0" w:space="0" w:color="auto"/>
            <w:bottom w:val="none" w:sz="0" w:space="0" w:color="auto"/>
            <w:right w:val="none" w:sz="0" w:space="0" w:color="auto"/>
          </w:divBdr>
          <w:divsChild>
            <w:div w:id="10932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2002">
      <w:bodyDiv w:val="1"/>
      <w:marLeft w:val="0"/>
      <w:marRight w:val="0"/>
      <w:marTop w:val="0"/>
      <w:marBottom w:val="0"/>
      <w:divBdr>
        <w:top w:val="none" w:sz="0" w:space="0" w:color="auto"/>
        <w:left w:val="none" w:sz="0" w:space="0" w:color="auto"/>
        <w:bottom w:val="none" w:sz="0" w:space="0" w:color="auto"/>
        <w:right w:val="none" w:sz="0" w:space="0" w:color="auto"/>
      </w:divBdr>
    </w:div>
    <w:div w:id="140850309">
      <w:bodyDiv w:val="1"/>
      <w:marLeft w:val="0"/>
      <w:marRight w:val="0"/>
      <w:marTop w:val="0"/>
      <w:marBottom w:val="0"/>
      <w:divBdr>
        <w:top w:val="none" w:sz="0" w:space="0" w:color="auto"/>
        <w:left w:val="none" w:sz="0" w:space="0" w:color="auto"/>
        <w:bottom w:val="none" w:sz="0" w:space="0" w:color="auto"/>
        <w:right w:val="none" w:sz="0" w:space="0" w:color="auto"/>
      </w:divBdr>
    </w:div>
    <w:div w:id="195119146">
      <w:bodyDiv w:val="1"/>
      <w:marLeft w:val="0"/>
      <w:marRight w:val="0"/>
      <w:marTop w:val="0"/>
      <w:marBottom w:val="0"/>
      <w:divBdr>
        <w:top w:val="none" w:sz="0" w:space="0" w:color="auto"/>
        <w:left w:val="none" w:sz="0" w:space="0" w:color="auto"/>
        <w:bottom w:val="none" w:sz="0" w:space="0" w:color="auto"/>
        <w:right w:val="none" w:sz="0" w:space="0" w:color="auto"/>
      </w:divBdr>
    </w:div>
    <w:div w:id="250628361">
      <w:bodyDiv w:val="1"/>
      <w:marLeft w:val="0"/>
      <w:marRight w:val="0"/>
      <w:marTop w:val="0"/>
      <w:marBottom w:val="0"/>
      <w:divBdr>
        <w:top w:val="none" w:sz="0" w:space="0" w:color="auto"/>
        <w:left w:val="none" w:sz="0" w:space="0" w:color="auto"/>
        <w:bottom w:val="none" w:sz="0" w:space="0" w:color="auto"/>
        <w:right w:val="none" w:sz="0" w:space="0" w:color="auto"/>
      </w:divBdr>
    </w:div>
    <w:div w:id="259796046">
      <w:bodyDiv w:val="1"/>
      <w:marLeft w:val="0"/>
      <w:marRight w:val="0"/>
      <w:marTop w:val="0"/>
      <w:marBottom w:val="0"/>
      <w:divBdr>
        <w:top w:val="none" w:sz="0" w:space="0" w:color="auto"/>
        <w:left w:val="none" w:sz="0" w:space="0" w:color="auto"/>
        <w:bottom w:val="none" w:sz="0" w:space="0" w:color="auto"/>
        <w:right w:val="none" w:sz="0" w:space="0" w:color="auto"/>
      </w:divBdr>
    </w:div>
    <w:div w:id="290093184">
      <w:bodyDiv w:val="1"/>
      <w:marLeft w:val="0"/>
      <w:marRight w:val="0"/>
      <w:marTop w:val="0"/>
      <w:marBottom w:val="0"/>
      <w:divBdr>
        <w:top w:val="none" w:sz="0" w:space="0" w:color="auto"/>
        <w:left w:val="none" w:sz="0" w:space="0" w:color="auto"/>
        <w:bottom w:val="none" w:sz="0" w:space="0" w:color="auto"/>
        <w:right w:val="none" w:sz="0" w:space="0" w:color="auto"/>
      </w:divBdr>
    </w:div>
    <w:div w:id="626743972">
      <w:bodyDiv w:val="1"/>
      <w:marLeft w:val="0"/>
      <w:marRight w:val="0"/>
      <w:marTop w:val="0"/>
      <w:marBottom w:val="0"/>
      <w:divBdr>
        <w:top w:val="none" w:sz="0" w:space="0" w:color="auto"/>
        <w:left w:val="none" w:sz="0" w:space="0" w:color="auto"/>
        <w:bottom w:val="none" w:sz="0" w:space="0" w:color="auto"/>
        <w:right w:val="none" w:sz="0" w:space="0" w:color="auto"/>
      </w:divBdr>
    </w:div>
    <w:div w:id="788276505">
      <w:bodyDiv w:val="1"/>
      <w:marLeft w:val="0"/>
      <w:marRight w:val="0"/>
      <w:marTop w:val="0"/>
      <w:marBottom w:val="0"/>
      <w:divBdr>
        <w:top w:val="none" w:sz="0" w:space="0" w:color="auto"/>
        <w:left w:val="none" w:sz="0" w:space="0" w:color="auto"/>
        <w:bottom w:val="none" w:sz="0" w:space="0" w:color="auto"/>
        <w:right w:val="none" w:sz="0" w:space="0" w:color="auto"/>
      </w:divBdr>
    </w:div>
    <w:div w:id="884221086">
      <w:bodyDiv w:val="1"/>
      <w:marLeft w:val="0"/>
      <w:marRight w:val="0"/>
      <w:marTop w:val="0"/>
      <w:marBottom w:val="0"/>
      <w:divBdr>
        <w:top w:val="none" w:sz="0" w:space="0" w:color="auto"/>
        <w:left w:val="none" w:sz="0" w:space="0" w:color="auto"/>
        <w:bottom w:val="none" w:sz="0" w:space="0" w:color="auto"/>
        <w:right w:val="none" w:sz="0" w:space="0" w:color="auto"/>
      </w:divBdr>
      <w:divsChild>
        <w:div w:id="1944846351">
          <w:marLeft w:val="547"/>
          <w:marRight w:val="0"/>
          <w:marTop w:val="115"/>
          <w:marBottom w:val="0"/>
          <w:divBdr>
            <w:top w:val="none" w:sz="0" w:space="0" w:color="auto"/>
            <w:left w:val="none" w:sz="0" w:space="0" w:color="auto"/>
            <w:bottom w:val="none" w:sz="0" w:space="0" w:color="auto"/>
            <w:right w:val="none" w:sz="0" w:space="0" w:color="auto"/>
          </w:divBdr>
        </w:div>
        <w:div w:id="1828395950">
          <w:marLeft w:val="1166"/>
          <w:marRight w:val="0"/>
          <w:marTop w:val="96"/>
          <w:marBottom w:val="0"/>
          <w:divBdr>
            <w:top w:val="none" w:sz="0" w:space="0" w:color="auto"/>
            <w:left w:val="none" w:sz="0" w:space="0" w:color="auto"/>
            <w:bottom w:val="none" w:sz="0" w:space="0" w:color="auto"/>
            <w:right w:val="none" w:sz="0" w:space="0" w:color="auto"/>
          </w:divBdr>
        </w:div>
        <w:div w:id="1587223223">
          <w:marLeft w:val="1166"/>
          <w:marRight w:val="0"/>
          <w:marTop w:val="96"/>
          <w:marBottom w:val="0"/>
          <w:divBdr>
            <w:top w:val="none" w:sz="0" w:space="0" w:color="auto"/>
            <w:left w:val="none" w:sz="0" w:space="0" w:color="auto"/>
            <w:bottom w:val="none" w:sz="0" w:space="0" w:color="auto"/>
            <w:right w:val="none" w:sz="0" w:space="0" w:color="auto"/>
          </w:divBdr>
        </w:div>
        <w:div w:id="1059666212">
          <w:marLeft w:val="1166"/>
          <w:marRight w:val="0"/>
          <w:marTop w:val="96"/>
          <w:marBottom w:val="0"/>
          <w:divBdr>
            <w:top w:val="none" w:sz="0" w:space="0" w:color="auto"/>
            <w:left w:val="none" w:sz="0" w:space="0" w:color="auto"/>
            <w:bottom w:val="none" w:sz="0" w:space="0" w:color="auto"/>
            <w:right w:val="none" w:sz="0" w:space="0" w:color="auto"/>
          </w:divBdr>
        </w:div>
      </w:divsChild>
    </w:div>
    <w:div w:id="898057685">
      <w:bodyDiv w:val="1"/>
      <w:marLeft w:val="0"/>
      <w:marRight w:val="0"/>
      <w:marTop w:val="0"/>
      <w:marBottom w:val="0"/>
      <w:divBdr>
        <w:top w:val="none" w:sz="0" w:space="0" w:color="auto"/>
        <w:left w:val="none" w:sz="0" w:space="0" w:color="auto"/>
        <w:bottom w:val="none" w:sz="0" w:space="0" w:color="auto"/>
        <w:right w:val="none" w:sz="0" w:space="0" w:color="auto"/>
      </w:divBdr>
    </w:div>
    <w:div w:id="1258515307">
      <w:bodyDiv w:val="1"/>
      <w:marLeft w:val="0"/>
      <w:marRight w:val="0"/>
      <w:marTop w:val="0"/>
      <w:marBottom w:val="0"/>
      <w:divBdr>
        <w:top w:val="none" w:sz="0" w:space="0" w:color="auto"/>
        <w:left w:val="none" w:sz="0" w:space="0" w:color="auto"/>
        <w:bottom w:val="none" w:sz="0" w:space="0" w:color="auto"/>
        <w:right w:val="none" w:sz="0" w:space="0" w:color="auto"/>
      </w:divBdr>
    </w:div>
    <w:div w:id="1270577126">
      <w:bodyDiv w:val="1"/>
      <w:marLeft w:val="0"/>
      <w:marRight w:val="0"/>
      <w:marTop w:val="0"/>
      <w:marBottom w:val="0"/>
      <w:divBdr>
        <w:top w:val="none" w:sz="0" w:space="0" w:color="auto"/>
        <w:left w:val="none" w:sz="0" w:space="0" w:color="auto"/>
        <w:bottom w:val="none" w:sz="0" w:space="0" w:color="auto"/>
        <w:right w:val="none" w:sz="0" w:space="0" w:color="auto"/>
      </w:divBdr>
    </w:div>
    <w:div w:id="1291279254">
      <w:bodyDiv w:val="1"/>
      <w:marLeft w:val="0"/>
      <w:marRight w:val="0"/>
      <w:marTop w:val="0"/>
      <w:marBottom w:val="0"/>
      <w:divBdr>
        <w:top w:val="none" w:sz="0" w:space="0" w:color="auto"/>
        <w:left w:val="none" w:sz="0" w:space="0" w:color="auto"/>
        <w:bottom w:val="none" w:sz="0" w:space="0" w:color="auto"/>
        <w:right w:val="none" w:sz="0" w:space="0" w:color="auto"/>
      </w:divBdr>
    </w:div>
    <w:div w:id="1707100799">
      <w:bodyDiv w:val="1"/>
      <w:marLeft w:val="0"/>
      <w:marRight w:val="0"/>
      <w:marTop w:val="0"/>
      <w:marBottom w:val="0"/>
      <w:divBdr>
        <w:top w:val="none" w:sz="0" w:space="0" w:color="auto"/>
        <w:left w:val="none" w:sz="0" w:space="0" w:color="auto"/>
        <w:bottom w:val="none" w:sz="0" w:space="0" w:color="auto"/>
        <w:right w:val="none" w:sz="0" w:space="0" w:color="auto"/>
      </w:divBdr>
      <w:divsChild>
        <w:div w:id="1572737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72967940">
      <w:bodyDiv w:val="1"/>
      <w:marLeft w:val="0"/>
      <w:marRight w:val="0"/>
      <w:marTop w:val="0"/>
      <w:marBottom w:val="0"/>
      <w:divBdr>
        <w:top w:val="none" w:sz="0" w:space="0" w:color="auto"/>
        <w:left w:val="none" w:sz="0" w:space="0" w:color="auto"/>
        <w:bottom w:val="none" w:sz="0" w:space="0" w:color="auto"/>
        <w:right w:val="none" w:sz="0" w:space="0" w:color="auto"/>
      </w:divBdr>
    </w:div>
    <w:div w:id="1955092847">
      <w:bodyDiv w:val="1"/>
      <w:marLeft w:val="0"/>
      <w:marRight w:val="0"/>
      <w:marTop w:val="0"/>
      <w:marBottom w:val="0"/>
      <w:divBdr>
        <w:top w:val="none" w:sz="0" w:space="0" w:color="auto"/>
        <w:left w:val="none" w:sz="0" w:space="0" w:color="auto"/>
        <w:bottom w:val="none" w:sz="0" w:space="0" w:color="auto"/>
        <w:right w:val="none" w:sz="0" w:space="0" w:color="auto"/>
      </w:divBdr>
    </w:div>
    <w:div w:id="1964460988">
      <w:bodyDiv w:val="1"/>
      <w:marLeft w:val="0"/>
      <w:marRight w:val="0"/>
      <w:marTop w:val="0"/>
      <w:marBottom w:val="0"/>
      <w:divBdr>
        <w:top w:val="none" w:sz="0" w:space="0" w:color="auto"/>
        <w:left w:val="none" w:sz="0" w:space="0" w:color="auto"/>
        <w:bottom w:val="none" w:sz="0" w:space="0" w:color="auto"/>
        <w:right w:val="none" w:sz="0" w:space="0" w:color="auto"/>
      </w:divBdr>
      <w:divsChild>
        <w:div w:id="236332549">
          <w:marLeft w:val="0"/>
          <w:marRight w:val="0"/>
          <w:marTop w:val="0"/>
          <w:marBottom w:val="0"/>
          <w:divBdr>
            <w:top w:val="none" w:sz="0" w:space="0" w:color="auto"/>
            <w:left w:val="none" w:sz="0" w:space="0" w:color="auto"/>
            <w:bottom w:val="none" w:sz="0" w:space="0" w:color="auto"/>
            <w:right w:val="none" w:sz="0" w:space="0" w:color="auto"/>
          </w:divBdr>
        </w:div>
        <w:div w:id="333341479">
          <w:marLeft w:val="0"/>
          <w:marRight w:val="0"/>
          <w:marTop w:val="0"/>
          <w:marBottom w:val="0"/>
          <w:divBdr>
            <w:top w:val="none" w:sz="0" w:space="0" w:color="auto"/>
            <w:left w:val="none" w:sz="0" w:space="0" w:color="auto"/>
            <w:bottom w:val="none" w:sz="0" w:space="0" w:color="auto"/>
            <w:right w:val="none" w:sz="0" w:space="0" w:color="auto"/>
          </w:divBdr>
        </w:div>
      </w:divsChild>
    </w:div>
    <w:div w:id="20598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PQRS/Downloads/2016_PQRS_List_of_EPs.pdf" TargetMode="External"/><Relationship Id="rId13" Type="http://schemas.openxmlformats.org/officeDocument/2006/relationships/hyperlink" Target="https://www.cms.gov/Medicare/Quality-Initiatives-Patient-Assessment-Instruments/PQRS/Electronic-Health-Record-Reporting.html" TargetMode="External"/><Relationship Id="rId18" Type="http://schemas.openxmlformats.org/officeDocument/2006/relationships/hyperlink" Target="https://www.cms.gov/medicare/quality-initiatives-patient-assessment-instruments/pqrs/analysisandpayment.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ahpm.org/membership/registries-in-hpm" TargetMode="External"/><Relationship Id="rId17" Type="http://schemas.openxmlformats.org/officeDocument/2006/relationships/hyperlink" Target="https://www.cms.gov/Medicare/Quality-Initiatives-Patient-Assessment-Instruments/PQRS/How_To_Get_Started.html" TargetMode="External"/><Relationship Id="rId2" Type="http://schemas.openxmlformats.org/officeDocument/2006/relationships/numbering" Target="numbering.xml"/><Relationship Id="rId16" Type="http://schemas.openxmlformats.org/officeDocument/2006/relationships/hyperlink" Target="https://www.cms.gov/Medicare/Quality-Initiatives-Patient-Assessment-Instruments/PQRS/Downloads/2016_PQRS_Implementation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PQRS/Qualified-Clinical-Data-Registry-Reporting.html" TargetMode="External"/><Relationship Id="rId5" Type="http://schemas.openxmlformats.org/officeDocument/2006/relationships/webSettings" Target="webSettings.xml"/><Relationship Id="rId15" Type="http://schemas.openxmlformats.org/officeDocument/2006/relationships/hyperlink" Target="https://www.cms.gov/Medicare/Quality-Initiatives-Patient-Assessment-Instruments/PQRS/MeasuresCodes.html" TargetMode="External"/><Relationship Id="rId23" Type="http://schemas.openxmlformats.org/officeDocument/2006/relationships/theme" Target="theme/theme1.xml"/><Relationship Id="rId10" Type="http://schemas.openxmlformats.org/officeDocument/2006/relationships/hyperlink" Target="https://www.cms.gov/Medicare/Quality-Initiatives-Patient-Assessment-Instruments/PQRS/Registry-Reporting.html" TargetMode="External"/><Relationship Id="rId19" Type="http://schemas.openxmlformats.org/officeDocument/2006/relationships/hyperlink" Target="https://www.cms.gov/medicare/quality-initiatives-patient-assessment-instruments/pqrs/analysisandpayment.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PQRS/MeasuresCodes.html" TargetMode="External"/><Relationship Id="rId14" Type="http://schemas.openxmlformats.org/officeDocument/2006/relationships/hyperlink" Target="https://www.cms.gov/Medicare/Quality-Initiatives-Patient-Assessment-Instruments/PQRS/Downloads/2016PQRS_GPRO_ORG.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D462-1F83-4EFD-98A4-0471B2AB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Allison Taller</cp:lastModifiedBy>
  <cp:revision>4</cp:revision>
  <dcterms:created xsi:type="dcterms:W3CDTF">2016-10-05T21:10:00Z</dcterms:created>
  <dcterms:modified xsi:type="dcterms:W3CDTF">2016-10-13T19:30:00Z</dcterms:modified>
</cp:coreProperties>
</file>